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pPr>
        <w:rPr>
          <w:rtl/>
        </w:rPr>
      </w:pPr>
      <w:bookmarkStart w:id="0" w:name="_GoBack"/>
      <w:bookmarkEnd w:id="0"/>
    </w:p>
    <w:tbl>
      <w:tblPr>
        <w:tblStyle w:val="a8"/>
        <w:bidiVisual/>
        <w:tblW w:w="8820" w:type="dxa"/>
        <w:jc w:val="center"/>
        <w:tblLook w:val="01E0" w:firstRow="1" w:lastRow="1" w:firstColumn="1" w:lastColumn="1" w:noHBand="0" w:noVBand="0"/>
      </w:tblPr>
      <w:tblGrid>
        <w:gridCol w:w="923"/>
        <w:gridCol w:w="3219"/>
        <w:gridCol w:w="4678"/>
      </w:tblGrid>
      <w:tr w:rsidR="00507694" w:rsidRPr="00822550">
        <w:trPr>
          <w:trHeight w:val="295"/>
          <w:jc w:val="center"/>
        </w:trPr>
        <w:tc>
          <w:tcPr>
            <w:tcW w:w="923" w:type="dxa"/>
            <w:tcBorders>
              <w:top w:val="nil"/>
              <w:left w:val="nil"/>
              <w:bottom w:val="nil"/>
              <w:right w:val="nil"/>
            </w:tcBorders>
          </w:tcPr>
          <w:p w:rsidR="00507694" w:rsidRPr="00822550" w:rsidRDefault="00203DE3">
            <w:pPr>
              <w:jc w:val="both"/>
              <w:rPr>
                <w:rFonts w:ascii="David" w:hAnsi="David"/>
                <w:sz w:val="26"/>
                <w:szCs w:val="26"/>
              </w:rPr>
            </w:pPr>
            <w:r>
              <w:rPr>
                <w:rFonts w:ascii="David" w:hAnsi="David" w:hint="cs"/>
                <w:sz w:val="26"/>
                <w:szCs w:val="26"/>
                <w:rtl/>
              </w:rPr>
              <w:t>ל</w:t>
            </w:r>
            <w:r w:rsidR="00684E84" w:rsidRPr="00822550">
              <w:rPr>
                <w:rFonts w:ascii="David" w:hAnsi="David"/>
                <w:sz w:val="26"/>
                <w:szCs w:val="26"/>
                <w:rtl/>
              </w:rPr>
              <w:t xml:space="preserve">פני </w:t>
            </w:r>
          </w:p>
        </w:tc>
        <w:tc>
          <w:tcPr>
            <w:tcW w:w="7897" w:type="dxa"/>
            <w:gridSpan w:val="2"/>
            <w:tcBorders>
              <w:top w:val="nil"/>
              <w:left w:val="nil"/>
              <w:bottom w:val="nil"/>
              <w:right w:val="nil"/>
            </w:tcBorders>
          </w:tcPr>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w:t>
                </w:r>
              </w:sdtContent>
            </w:sdt>
            <w:r w:rsidR="00203DE3">
              <w:rPr>
                <w:rFonts w:ascii="David" w:hAnsi="David" w:hint="cs"/>
                <w:b/>
                <w:bCs/>
                <w:sz w:val="26"/>
                <w:szCs w:val="26"/>
                <w:rtl/>
              </w:rPr>
              <w:t xml:space="preserve"> </w:t>
            </w:r>
            <w:sdt>
              <w:sdtPr>
                <w:rPr>
                  <w:rFonts w:ascii="David" w:hAnsi="David"/>
                  <w:sz w:val="26"/>
                  <w:szCs w:val="26"/>
                  <w:rtl/>
                </w:rPr>
                <w:alias w:val="1573"/>
                <w:tag w:val="1573"/>
                <w:id w:val="-1715807626"/>
                <w:text w:multiLine="1"/>
              </w:sdtPr>
              <w:sdtEndPr/>
              <w:sdtContent>
                <w:r>
                  <w:rPr>
                    <w:rFonts w:ascii="David" w:hAnsi="David"/>
                    <w:b/>
                    <w:bCs/>
                    <w:sz w:val="26"/>
                    <w:szCs w:val="26"/>
                    <w:rtl/>
                  </w:rPr>
                  <w:t>מוחמד חאג' יחיא</w:t>
                </w:r>
              </w:sdtContent>
            </w:sdt>
          </w:p>
          <w:p w:rsidR="00507694" w:rsidRPr="00822550" w:rsidRDefault="00507694">
            <w:pPr>
              <w:rPr>
                <w:rFonts w:ascii="David" w:hAnsi="David"/>
                <w:sz w:val="26"/>
                <w:szCs w:val="26"/>
                <w:rtl/>
              </w:rPr>
            </w:pP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בעניין:</w:t>
            </w:r>
          </w:p>
        </w:tc>
        <w:tc>
          <w:tcPr>
            <w:tcW w:w="3219" w:type="dxa"/>
            <w:tcBorders>
              <w:top w:val="nil"/>
              <w:left w:val="nil"/>
              <w:bottom w:val="nil"/>
              <w:right w:val="nil"/>
            </w:tcBorders>
          </w:tcPr>
          <w:p w:rsidR="000F2247" w:rsidRDefault="000F2247" w:rsidP="000F2247">
            <w:pPr>
              <w:suppressLineNumbers/>
            </w:pPr>
            <w:r w:rsidRPr="000F2247">
              <w:rPr>
                <w:rFonts w:ascii="Arial" w:hAnsi="Arial" w:hint="cs"/>
                <w:b/>
                <w:bCs/>
                <w:sz w:val="26"/>
                <w:szCs w:val="26"/>
                <w:rtl/>
              </w:rPr>
              <w:t>ה</w:t>
            </w:r>
            <w:sdt>
              <w:sdtPr>
                <w:rPr>
                  <w:rFonts w:hint="cs"/>
                  <w:rtl/>
                </w:rPr>
                <w:alias w:val="1180"/>
                <w:tag w:val="1180"/>
                <w:id w:val="637458750"/>
                <w:text w:multiLine="1"/>
              </w:sdtPr>
              <w:sdtEndPr/>
              <w:sdtContent>
                <w:r>
                  <w:rPr>
                    <w:rFonts w:ascii="Arial" w:hAnsi="Arial"/>
                    <w:b/>
                    <w:bCs/>
                    <w:sz w:val="26"/>
                    <w:szCs w:val="26"/>
                    <w:rtl/>
                  </w:rPr>
                  <w:t>מאשימה</w:t>
                </w:r>
              </w:sdtContent>
            </w:sdt>
          </w:p>
          <w:p w:rsidR="00507694" w:rsidRPr="000F2247" w:rsidRDefault="00507694" w:rsidP="003E0C9F">
            <w:pPr>
              <w:rPr>
                <w:rFonts w:ascii="David" w:hAnsi="David"/>
                <w:sz w:val="26"/>
                <w:szCs w:val="26"/>
              </w:rPr>
            </w:pPr>
          </w:p>
        </w:tc>
        <w:tc>
          <w:tcPr>
            <w:tcW w:w="4678" w:type="dxa"/>
            <w:tcBorders>
              <w:top w:val="nil"/>
              <w:left w:val="nil"/>
              <w:bottom w:val="nil"/>
              <w:right w:val="nil"/>
            </w:tcBorders>
            <w:vAlign w:val="center"/>
          </w:tcPr>
          <w:p w:rsidR="00203DE3" w:rsidRDefault="00493FA1" w:rsidP="000F2247">
            <w:pPr>
              <w:suppressLineNumbers/>
              <w:rPr>
                <w:rFonts w:ascii="Arial" w:hAnsi="Arial"/>
                <w:b/>
                <w:bCs/>
                <w:sz w:val="26"/>
                <w:szCs w:val="26"/>
                <w:rtl/>
              </w:rPr>
            </w:pPr>
            <w:sdt>
              <w:sdtPr>
                <w:rPr>
                  <w:rFonts w:ascii="Arial" w:hAnsi="Arial"/>
                  <w:b/>
                  <w:bCs/>
                  <w:sz w:val="26"/>
                  <w:szCs w:val="26"/>
                  <w:rtl/>
                </w:rPr>
                <w:alias w:val="3151"/>
                <w:tag w:val="3151"/>
                <w:id w:val="1166218717"/>
                <w:placeholder>
                  <w:docPart w:val="779E22585710421C8C89FB185AEA4F29"/>
                </w:placeholder>
                <w:text w:multiLine="1"/>
              </w:sdtPr>
              <w:sdtEndPr/>
              <w:sdtContent>
                <w:r w:rsidR="004902D6">
                  <w:rPr>
                    <w:rFonts w:ascii="Arial" w:hAnsi="Arial"/>
                    <w:b/>
                    <w:bCs/>
                    <w:sz w:val="26"/>
                    <w:szCs w:val="26"/>
                    <w:rtl/>
                  </w:rPr>
                  <w:t>מדינת ישראל</w:t>
                </w:r>
              </w:sdtContent>
            </w:sdt>
          </w:p>
          <w:p w:rsidR="000F2247" w:rsidRPr="00203DE3" w:rsidRDefault="00203DE3" w:rsidP="000F2247">
            <w:pPr>
              <w:suppressLineNumbers/>
              <w:rPr>
                <w:rFonts w:ascii="Arial" w:hAnsi="Arial"/>
                <w:sz w:val="26"/>
                <w:szCs w:val="26"/>
                <w:rtl/>
              </w:rPr>
            </w:pPr>
            <w:r w:rsidRPr="00203DE3">
              <w:rPr>
                <w:rFonts w:ascii="Arial" w:hAnsi="Arial"/>
                <w:sz w:val="26"/>
                <w:szCs w:val="26"/>
                <w:rtl/>
              </w:rPr>
              <w:t>ע</w:t>
            </w:r>
            <w:r w:rsidR="005838FE">
              <w:rPr>
                <w:rFonts w:ascii="Arial" w:hAnsi="Arial"/>
                <w:sz w:val="26"/>
                <w:szCs w:val="26"/>
                <w:rtl/>
              </w:rPr>
              <w:t>"י</w:t>
            </w:r>
            <w:r w:rsidR="005838FE">
              <w:rPr>
                <w:rFonts w:ascii="Arial" w:hAnsi="Arial" w:hint="cs"/>
                <w:sz w:val="26"/>
                <w:szCs w:val="26"/>
                <w:rtl/>
              </w:rPr>
              <w:t xml:space="preserve"> </w:t>
            </w:r>
            <w:r w:rsidRPr="00203DE3">
              <w:rPr>
                <w:rFonts w:ascii="Arial" w:hAnsi="Arial"/>
                <w:sz w:val="26"/>
                <w:szCs w:val="26"/>
                <w:rtl/>
              </w:rPr>
              <w:t>עו</w:t>
            </w:r>
            <w:r w:rsidR="009705CC" w:rsidRPr="00203DE3">
              <w:rPr>
                <w:rFonts w:ascii="Arial" w:hAnsi="Arial"/>
                <w:sz w:val="26"/>
                <w:szCs w:val="26"/>
                <w:rtl/>
              </w:rPr>
              <w:t>"ד</w:t>
            </w:r>
            <w:r w:rsidRPr="00203DE3">
              <w:rPr>
                <w:rFonts w:ascii="Arial" w:hAnsi="Arial" w:hint="cs"/>
                <w:sz w:val="26"/>
                <w:szCs w:val="26"/>
                <w:rtl/>
              </w:rPr>
              <w:t xml:space="preserve"> מיטל צימר-גבאי ועו"ד הודיה יעקובי</w:t>
            </w:r>
          </w:p>
          <w:p w:rsidR="00203DE3" w:rsidRDefault="00203DE3" w:rsidP="000F2247">
            <w:pPr>
              <w:suppressLineNumbers/>
            </w:pPr>
            <w:r>
              <w:rPr>
                <w:rFonts w:hint="cs"/>
                <w:rtl/>
              </w:rPr>
              <w:t xml:space="preserve">אגף המכס ומע"מ </w:t>
            </w:r>
            <w:r>
              <w:rPr>
                <w:rtl/>
              </w:rPr>
              <w:t>–</w:t>
            </w:r>
            <w:r>
              <w:rPr>
                <w:rFonts w:hint="cs"/>
                <w:rtl/>
              </w:rPr>
              <w:t xml:space="preserve"> ירושלים</w:t>
            </w:r>
          </w:p>
          <w:p w:rsidR="00507694" w:rsidRPr="000F2247" w:rsidRDefault="00507694" w:rsidP="000F2247">
            <w:pPr>
              <w:rPr>
                <w:rFonts w:ascii="David" w:hAnsi="David"/>
                <w:sz w:val="26"/>
                <w:szCs w:val="26"/>
              </w:rPr>
            </w:pPr>
          </w:p>
        </w:tc>
      </w:tr>
      <w:tr w:rsidR="00507694" w:rsidRPr="00822550">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7897" w:type="dxa"/>
            <w:gridSpan w:val="2"/>
            <w:tcBorders>
              <w:top w:val="nil"/>
              <w:left w:val="nil"/>
              <w:bottom w:val="nil"/>
              <w:right w:val="nil"/>
            </w:tcBorders>
          </w:tcPr>
          <w:p w:rsidR="00507694" w:rsidRPr="009733B9" w:rsidRDefault="00684E84" w:rsidP="009733B9">
            <w:pPr>
              <w:jc w:val="center"/>
              <w:rPr>
                <w:rFonts w:ascii="David" w:hAnsi="David"/>
                <w:b/>
                <w:bCs/>
                <w:sz w:val="26"/>
                <w:szCs w:val="26"/>
              </w:rPr>
            </w:pPr>
            <w:r w:rsidRPr="00822550">
              <w:rPr>
                <w:rFonts w:ascii="David" w:hAnsi="David"/>
                <w:b/>
                <w:bCs/>
                <w:sz w:val="26"/>
                <w:szCs w:val="26"/>
                <w:rtl/>
              </w:rPr>
              <w:t>נגד</w:t>
            </w: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rsidP="003E0C9F">
            <w:pPr>
              <w:rPr>
                <w:rFonts w:ascii="David" w:hAnsi="David"/>
                <w:sz w:val="26"/>
                <w:szCs w:val="26"/>
                <w:rtl/>
              </w:rPr>
            </w:pPr>
          </w:p>
        </w:tc>
        <w:tc>
          <w:tcPr>
            <w:tcW w:w="3219" w:type="dxa"/>
            <w:tcBorders>
              <w:top w:val="nil"/>
              <w:left w:val="nil"/>
              <w:bottom w:val="nil"/>
              <w:right w:val="nil"/>
            </w:tcBorders>
          </w:tcPr>
          <w:p w:rsidR="005838FE" w:rsidRDefault="005838FE" w:rsidP="003E0C9F">
            <w:pPr>
              <w:rPr>
                <w:rFonts w:ascii="Arial" w:hAnsi="Arial"/>
                <w:b/>
                <w:bCs/>
                <w:sz w:val="26"/>
                <w:szCs w:val="26"/>
                <w:rtl/>
              </w:rPr>
            </w:pPr>
          </w:p>
          <w:p w:rsidR="00507694" w:rsidRPr="000F2247" w:rsidRDefault="000F2247" w:rsidP="003E0C9F">
            <w:pPr>
              <w:rPr>
                <w:rFonts w:ascii="Arial" w:hAnsi="Arial"/>
                <w:b/>
                <w:bCs/>
                <w:sz w:val="26"/>
                <w:szCs w:val="26"/>
                <w:rtl/>
              </w:rPr>
            </w:pPr>
            <w:r w:rsidRPr="000F2247">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Pr>
                    <w:rFonts w:ascii="Arial" w:hAnsi="Arial"/>
                    <w:b/>
                    <w:bCs/>
                    <w:sz w:val="26"/>
                    <w:szCs w:val="26"/>
                    <w:rtl/>
                  </w:rPr>
                  <w:t>נאשמים</w:t>
                </w:r>
              </w:sdtContent>
            </w:sdt>
          </w:p>
        </w:tc>
        <w:tc>
          <w:tcPr>
            <w:tcW w:w="4678" w:type="dxa"/>
            <w:tcBorders>
              <w:top w:val="nil"/>
              <w:left w:val="nil"/>
              <w:bottom w:val="nil"/>
              <w:right w:val="nil"/>
            </w:tcBorders>
            <w:vAlign w:val="center"/>
          </w:tcPr>
          <w:p w:rsidR="00507694" w:rsidRPr="000F2247" w:rsidRDefault="00507694" w:rsidP="000F2247">
            <w:pPr>
              <w:rPr>
                <w:rFonts w:ascii="David" w:hAnsi="David"/>
                <w:sz w:val="26"/>
                <w:szCs w:val="26"/>
              </w:rPr>
            </w:pPr>
          </w:p>
          <w:p w:rsidR="000F2247" w:rsidRDefault="00493FA1" w:rsidP="00203DE3">
            <w:pPr>
              <w:suppressLineNumbers/>
            </w:pPr>
            <w:sdt>
              <w:sdtPr>
                <w:rPr>
                  <w:rFonts w:ascii="Arial" w:hAnsi="Arial"/>
                  <w:b/>
                  <w:bCs/>
                  <w:sz w:val="26"/>
                  <w:szCs w:val="26"/>
                  <w:rtl/>
                </w:rPr>
                <w:alias w:val="1571"/>
                <w:tag w:val="1571"/>
                <w:id w:val="1028836282"/>
                <w:text w:multiLine="1"/>
              </w:sdtPr>
              <w:sdtEndPr/>
              <w:sdtContent>
                <w:r w:rsidR="004902D6">
                  <w:rPr>
                    <w:rFonts w:ascii="Arial" w:hAnsi="Arial"/>
                    <w:b/>
                    <w:bCs/>
                    <w:sz w:val="26"/>
                    <w:szCs w:val="26"/>
                    <w:rtl/>
                  </w:rPr>
                  <w:t>1</w:t>
                </w:r>
              </w:sdtContent>
            </w:sdt>
            <w:r w:rsidR="000F2247">
              <w:rPr>
                <w:rFonts w:ascii="Arial" w:hAnsi="Arial"/>
                <w:b/>
                <w:bCs/>
                <w:sz w:val="26"/>
                <w:szCs w:val="26"/>
                <w:rtl/>
              </w:rPr>
              <w:t xml:space="preserve">. </w:t>
            </w:r>
            <w:sdt>
              <w:sdtPr>
                <w:rPr>
                  <w:rFonts w:ascii="Arial" w:hAnsi="Arial"/>
                  <w:b/>
                  <w:bCs/>
                  <w:sz w:val="26"/>
                  <w:szCs w:val="26"/>
                  <w:rtl/>
                </w:rPr>
                <w:alias w:val="3152"/>
                <w:tag w:val="3152"/>
                <w:id w:val="-1346628691"/>
                <w:placeholder>
                  <w:docPart w:val="010484D989C74E84A895BCF1D17B4C1C"/>
                </w:placeholder>
                <w:text w:multiLine="1"/>
              </w:sdtPr>
              <w:sdtEndPr/>
              <w:sdtContent>
                <w:r w:rsidR="004902D6">
                  <w:rPr>
                    <w:rFonts w:ascii="Arial" w:hAnsi="Arial"/>
                    <w:b/>
                    <w:bCs/>
                    <w:sz w:val="26"/>
                    <w:szCs w:val="26"/>
                    <w:rtl/>
                  </w:rPr>
                  <w:t>אילן הכהן</w:t>
                </w:r>
              </w:sdtContent>
            </w:sdt>
          </w:p>
          <w:p w:rsidR="000F2247" w:rsidRDefault="00493FA1" w:rsidP="00203DE3">
            <w:pPr>
              <w:suppressLineNumbers/>
            </w:pPr>
            <w:sdt>
              <w:sdtPr>
                <w:rPr>
                  <w:rFonts w:ascii="Arial" w:hAnsi="Arial"/>
                  <w:b/>
                  <w:bCs/>
                  <w:sz w:val="26"/>
                  <w:szCs w:val="26"/>
                  <w:rtl/>
                </w:rPr>
                <w:alias w:val="1571"/>
                <w:tag w:val="1571"/>
                <w:id w:val="-240416442"/>
                <w:text w:multiLine="1"/>
              </w:sdtPr>
              <w:sdtEndPr/>
              <w:sdtContent>
                <w:r w:rsidR="004902D6">
                  <w:rPr>
                    <w:rFonts w:ascii="Arial" w:hAnsi="Arial"/>
                    <w:b/>
                    <w:bCs/>
                    <w:sz w:val="26"/>
                    <w:szCs w:val="26"/>
                    <w:rtl/>
                  </w:rPr>
                  <w:t>2</w:t>
                </w:r>
              </w:sdtContent>
            </w:sdt>
            <w:r w:rsidR="000F2247">
              <w:rPr>
                <w:rFonts w:ascii="Arial" w:hAnsi="Arial"/>
                <w:b/>
                <w:bCs/>
                <w:sz w:val="26"/>
                <w:szCs w:val="26"/>
                <w:rtl/>
              </w:rPr>
              <w:t xml:space="preserve">. </w:t>
            </w:r>
            <w:sdt>
              <w:sdtPr>
                <w:rPr>
                  <w:rFonts w:ascii="Arial" w:hAnsi="Arial"/>
                  <w:b/>
                  <w:bCs/>
                  <w:sz w:val="26"/>
                  <w:szCs w:val="26"/>
                  <w:rtl/>
                </w:rPr>
                <w:alias w:val="3152"/>
                <w:tag w:val="3152"/>
                <w:id w:val="-67496925"/>
                <w:placeholder>
                  <w:docPart w:val="010484D989C74E84A895BCF1D17B4C1C"/>
                </w:placeholder>
                <w:text w:multiLine="1"/>
              </w:sdtPr>
              <w:sdtEndPr/>
              <w:sdtContent>
                <w:r w:rsidR="004902D6">
                  <w:rPr>
                    <w:rFonts w:ascii="Arial" w:hAnsi="Arial"/>
                    <w:b/>
                    <w:bCs/>
                    <w:sz w:val="26"/>
                    <w:szCs w:val="26"/>
                    <w:rtl/>
                  </w:rPr>
                  <w:t>אור - סריקה ותווינים בע"מ</w:t>
                </w:r>
              </w:sdtContent>
            </w:sdt>
          </w:p>
          <w:p w:rsidR="00203DE3" w:rsidRDefault="00493FA1" w:rsidP="000F2247">
            <w:pPr>
              <w:suppressLineNumbers/>
              <w:rPr>
                <w:rFonts w:ascii="Arial" w:hAnsi="Arial"/>
                <w:b/>
                <w:bCs/>
                <w:sz w:val="26"/>
                <w:szCs w:val="26"/>
                <w:rtl/>
              </w:rPr>
            </w:pPr>
            <w:sdt>
              <w:sdtPr>
                <w:rPr>
                  <w:rFonts w:ascii="Arial" w:hAnsi="Arial"/>
                  <w:b/>
                  <w:bCs/>
                  <w:sz w:val="26"/>
                  <w:szCs w:val="26"/>
                  <w:rtl/>
                </w:rPr>
                <w:alias w:val="1571"/>
                <w:tag w:val="1571"/>
                <w:id w:val="-1231306780"/>
                <w:text w:multiLine="1"/>
              </w:sdtPr>
              <w:sdtEndPr/>
              <w:sdtContent>
                <w:r w:rsidR="004902D6">
                  <w:rPr>
                    <w:rFonts w:ascii="Arial" w:hAnsi="Arial"/>
                    <w:b/>
                    <w:bCs/>
                    <w:sz w:val="26"/>
                    <w:szCs w:val="26"/>
                    <w:rtl/>
                  </w:rPr>
                  <w:t>3</w:t>
                </w:r>
              </w:sdtContent>
            </w:sdt>
            <w:r w:rsidR="000F2247">
              <w:rPr>
                <w:rFonts w:ascii="Arial" w:hAnsi="Arial"/>
                <w:b/>
                <w:bCs/>
                <w:sz w:val="26"/>
                <w:szCs w:val="26"/>
                <w:rtl/>
              </w:rPr>
              <w:t xml:space="preserve">. </w:t>
            </w:r>
            <w:sdt>
              <w:sdtPr>
                <w:rPr>
                  <w:rFonts w:ascii="Arial" w:hAnsi="Arial"/>
                  <w:b/>
                  <w:bCs/>
                  <w:sz w:val="26"/>
                  <w:szCs w:val="26"/>
                  <w:rtl/>
                </w:rPr>
                <w:alias w:val="3152"/>
                <w:tag w:val="3152"/>
                <w:id w:val="1608157182"/>
                <w:placeholder>
                  <w:docPart w:val="010484D989C74E84A895BCF1D17B4C1C"/>
                </w:placeholder>
                <w:text w:multiLine="1"/>
              </w:sdtPr>
              <w:sdtEndPr/>
              <w:sdtContent>
                <w:r w:rsidR="004902D6">
                  <w:rPr>
                    <w:rFonts w:ascii="Arial" w:hAnsi="Arial"/>
                    <w:b/>
                    <w:bCs/>
                    <w:sz w:val="26"/>
                    <w:szCs w:val="26"/>
                    <w:rtl/>
                  </w:rPr>
                  <w:t>אור סריקה והנדסה ממוחשבת (1998) בע"מ</w:t>
                </w:r>
              </w:sdtContent>
            </w:sdt>
            <w:r w:rsidR="009705CC">
              <w:rPr>
                <w:rFonts w:ascii="Arial" w:hAnsi="Arial" w:hint="cs"/>
                <w:b/>
                <w:bCs/>
                <w:sz w:val="26"/>
                <w:szCs w:val="26"/>
                <w:rtl/>
              </w:rPr>
              <w:t xml:space="preserve"> </w:t>
            </w:r>
          </w:p>
          <w:p w:rsidR="000F2247" w:rsidRPr="00203DE3" w:rsidRDefault="00203DE3" w:rsidP="000F2247">
            <w:pPr>
              <w:suppressLineNumbers/>
            </w:pPr>
            <w:r w:rsidRPr="00203DE3">
              <w:rPr>
                <w:rFonts w:ascii="Arial" w:hAnsi="Arial"/>
                <w:sz w:val="26"/>
                <w:szCs w:val="26"/>
                <w:rtl/>
              </w:rPr>
              <w:t>ע"י ב"כ ע</w:t>
            </w:r>
            <w:r w:rsidRPr="00203DE3">
              <w:rPr>
                <w:rFonts w:ascii="Arial" w:hAnsi="Arial" w:hint="cs"/>
                <w:sz w:val="26"/>
                <w:szCs w:val="26"/>
                <w:rtl/>
              </w:rPr>
              <w:t>ו</w:t>
            </w:r>
            <w:r w:rsidR="009705CC" w:rsidRPr="00203DE3">
              <w:rPr>
                <w:rFonts w:ascii="Arial" w:hAnsi="Arial"/>
                <w:sz w:val="26"/>
                <w:szCs w:val="26"/>
                <w:rtl/>
              </w:rPr>
              <w:t>"ד</w:t>
            </w:r>
            <w:r w:rsidRPr="00203DE3">
              <w:rPr>
                <w:rFonts w:ascii="Arial" w:hAnsi="Arial" w:hint="cs"/>
                <w:sz w:val="26"/>
                <w:szCs w:val="26"/>
                <w:rtl/>
              </w:rPr>
              <w:t xml:space="preserve"> יעקב קסטל</w:t>
            </w: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3219" w:type="dxa"/>
            <w:tcBorders>
              <w:top w:val="nil"/>
              <w:left w:val="nil"/>
              <w:bottom w:val="nil"/>
              <w:right w:val="nil"/>
            </w:tcBorders>
          </w:tcPr>
          <w:p w:rsidR="00507694" w:rsidRPr="00822550" w:rsidRDefault="00507694">
            <w:pPr>
              <w:jc w:val="both"/>
              <w:rPr>
                <w:rFonts w:ascii="David" w:hAnsi="David"/>
                <w:sz w:val="26"/>
                <w:szCs w:val="26"/>
                <w:rtl/>
              </w:rPr>
            </w:pPr>
          </w:p>
        </w:tc>
        <w:tc>
          <w:tcPr>
            <w:tcW w:w="4678" w:type="dxa"/>
            <w:tcBorders>
              <w:top w:val="nil"/>
              <w:left w:val="nil"/>
              <w:bottom w:val="nil"/>
              <w:right w:val="nil"/>
            </w:tcBorders>
          </w:tcPr>
          <w:p w:rsidR="00507694" w:rsidRPr="00822550" w:rsidRDefault="00507694">
            <w:pPr>
              <w:jc w:val="right"/>
              <w:rPr>
                <w:rFonts w:ascii="David" w:hAnsi="David"/>
                <w:sz w:val="26"/>
                <w:szCs w:val="26"/>
              </w:rPr>
            </w:pPr>
          </w:p>
        </w:tc>
      </w:tr>
    </w:tbl>
    <w:p w:rsidR="00507694" w:rsidRPr="00822550" w:rsidRDefault="00507694">
      <w:pPr>
        <w:rPr>
          <w:sz w:val="26"/>
          <w:szCs w:val="26"/>
        </w:rPr>
      </w:pPr>
    </w:p>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9733B9" w:rsidRDefault="00684E84">
            <w:pPr>
              <w:jc w:val="center"/>
              <w:rPr>
                <w:rFonts w:ascii="David" w:hAnsi="David"/>
                <w:b/>
                <w:bCs/>
                <w:sz w:val="32"/>
                <w:szCs w:val="32"/>
                <w:u w:val="single"/>
                <w:rtl/>
              </w:rPr>
            </w:pPr>
            <w:r w:rsidRPr="000454A8">
              <w:rPr>
                <w:rFonts w:ascii="David" w:hAnsi="David"/>
                <w:b/>
                <w:bCs/>
                <w:sz w:val="32"/>
                <w:szCs w:val="32"/>
                <w:u w:val="single"/>
                <w:rtl/>
              </w:rPr>
              <w:t>גזר דין</w:t>
            </w:r>
            <w:r w:rsidR="009733B9">
              <w:rPr>
                <w:rFonts w:ascii="David" w:hAnsi="David" w:hint="cs"/>
                <w:b/>
                <w:bCs/>
                <w:sz w:val="32"/>
                <w:szCs w:val="32"/>
                <w:u w:val="single"/>
                <w:rtl/>
              </w:rPr>
              <w:t xml:space="preserve"> </w:t>
            </w:r>
          </w:p>
          <w:p w:rsidR="00507694" w:rsidRPr="009733B9" w:rsidRDefault="009733B9">
            <w:pPr>
              <w:jc w:val="center"/>
              <w:rPr>
                <w:rFonts w:ascii="David" w:hAnsi="David"/>
                <w:sz w:val="28"/>
                <w:szCs w:val="28"/>
                <w:rtl/>
              </w:rPr>
            </w:pPr>
            <w:r w:rsidRPr="009733B9">
              <w:rPr>
                <w:rFonts w:ascii="David" w:hAnsi="David" w:hint="cs"/>
                <w:sz w:val="28"/>
                <w:szCs w:val="28"/>
                <w:rtl/>
              </w:rPr>
              <w:t>(ללא הרשעה ביחס לנאשם 1)</w:t>
            </w:r>
          </w:p>
        </w:tc>
      </w:tr>
    </w:tbl>
    <w:p w:rsidR="00507694" w:rsidRPr="000F2247" w:rsidRDefault="00507694">
      <w:pPr>
        <w:rPr>
          <w:rFonts w:ascii="Arial" w:hAnsi="Arial"/>
          <w:b/>
          <w:bCs/>
          <w:sz w:val="26"/>
          <w:szCs w:val="26"/>
          <w:rtl/>
        </w:rPr>
      </w:pPr>
    </w:p>
    <w:p w:rsidR="00A620FF" w:rsidRDefault="00A620FF" w:rsidP="00A620FF">
      <w:pPr>
        <w:numPr>
          <w:ilvl w:val="0"/>
          <w:numId w:val="3"/>
        </w:numPr>
        <w:spacing w:line="360" w:lineRule="auto"/>
        <w:ind w:hanging="494"/>
        <w:contextualSpacing/>
        <w:jc w:val="both"/>
        <w:rPr>
          <w:rFonts w:ascii="FrankRuehl" w:hAnsi="FrankRuehl" w:cs="FrankRuehl"/>
          <w:sz w:val="28"/>
          <w:szCs w:val="28"/>
        </w:rPr>
      </w:pPr>
      <w:r>
        <w:rPr>
          <w:rFonts w:ascii="FrankRuehl" w:hAnsi="FrankRuehl" w:cs="FrankRuehl"/>
          <w:sz w:val="28"/>
          <w:szCs w:val="28"/>
          <w:rtl/>
        </w:rPr>
        <w:t>הנאשמים 3-1 (להלן בהתאמה: "</w:t>
      </w:r>
      <w:r>
        <w:rPr>
          <w:rFonts w:ascii="Miriam" w:hAnsi="Miriam" w:cs="Miriam"/>
          <w:rtl/>
        </w:rPr>
        <w:t>הנאשם</w:t>
      </w:r>
      <w:r>
        <w:rPr>
          <w:rFonts w:ascii="FrankRuehl" w:hAnsi="FrankRuehl" w:cs="FrankRuehl"/>
          <w:sz w:val="28"/>
          <w:szCs w:val="28"/>
          <w:rtl/>
        </w:rPr>
        <w:t>" ו-"</w:t>
      </w:r>
      <w:r>
        <w:rPr>
          <w:rFonts w:ascii="Miriam" w:hAnsi="Miriam" w:cs="Miriam"/>
          <w:rtl/>
        </w:rPr>
        <w:t>החברות</w:t>
      </w:r>
      <w:r>
        <w:rPr>
          <w:rFonts w:ascii="FrankRuehl" w:hAnsi="FrankRuehl" w:cs="FrankRuehl"/>
          <w:sz w:val="28"/>
          <w:szCs w:val="28"/>
          <w:rtl/>
        </w:rPr>
        <w:t xml:space="preserve">") הועמדו לדין במספר אישומים בגין ביצוע עבירות לפי </w:t>
      </w:r>
      <w:r>
        <w:rPr>
          <w:rFonts w:ascii="Miriam" w:hAnsi="Miriam" w:cs="Miriam"/>
          <w:rtl/>
        </w:rPr>
        <w:t>חוק מס ערך מוסף, התשל"ז-1976</w:t>
      </w:r>
      <w:r>
        <w:rPr>
          <w:rFonts w:ascii="FrankRuehl" w:hAnsi="FrankRuehl" w:cs="FrankRuehl"/>
          <w:sz w:val="28"/>
          <w:szCs w:val="28"/>
          <w:rtl/>
        </w:rPr>
        <w:t xml:space="preserve"> (להלן: "</w:t>
      </w:r>
      <w:r>
        <w:rPr>
          <w:rFonts w:ascii="Miriam" w:hAnsi="Miriam" w:cs="Miriam"/>
          <w:rtl/>
        </w:rPr>
        <w:t>חוק המע"מ</w:t>
      </w:r>
      <w:r>
        <w:rPr>
          <w:rFonts w:ascii="FrankRuehl" w:hAnsi="FrankRuehl" w:cs="FrankRuehl"/>
          <w:sz w:val="28"/>
          <w:szCs w:val="28"/>
          <w:rtl/>
        </w:rPr>
        <w:t>").</w:t>
      </w:r>
    </w:p>
    <w:p w:rsidR="00A620FF" w:rsidRDefault="00A620FF" w:rsidP="00A620FF">
      <w:pPr>
        <w:spacing w:line="360" w:lineRule="auto"/>
        <w:ind w:left="720"/>
        <w:contextualSpacing/>
        <w:jc w:val="both"/>
        <w:rPr>
          <w:rFonts w:ascii="FrankRuehl" w:hAnsi="FrankRuehl" w:cs="FrankRuehl"/>
          <w:sz w:val="28"/>
          <w:szCs w:val="28"/>
        </w:rPr>
      </w:pPr>
    </w:p>
    <w:p w:rsidR="00A620FF" w:rsidRDefault="00A620FF" w:rsidP="00A620FF">
      <w:pPr>
        <w:numPr>
          <w:ilvl w:val="0"/>
          <w:numId w:val="3"/>
        </w:numPr>
        <w:spacing w:line="360" w:lineRule="auto"/>
        <w:ind w:hanging="494"/>
        <w:contextualSpacing/>
        <w:jc w:val="both"/>
        <w:rPr>
          <w:rFonts w:ascii="FrankRuehl" w:hAnsi="FrankRuehl" w:cs="FrankRuehl"/>
          <w:sz w:val="28"/>
          <w:szCs w:val="28"/>
        </w:rPr>
      </w:pPr>
      <w:r>
        <w:rPr>
          <w:rFonts w:ascii="FrankRuehl" w:hAnsi="FrankRuehl" w:cs="FrankRuehl"/>
          <w:sz w:val="28"/>
          <w:szCs w:val="28"/>
          <w:rtl/>
        </w:rPr>
        <w:t>ביום 20.6.2022, על-יסוד הודאותיהם (החברות באמצעות הנאשם), הודו בביצוע העבירות לפי הפירוט הבא:</w:t>
      </w:r>
    </w:p>
    <w:p w:rsidR="00A620FF" w:rsidRDefault="00A620FF" w:rsidP="00A620FF">
      <w:pPr>
        <w:pStyle w:val="ab"/>
        <w:numPr>
          <w:ilvl w:val="0"/>
          <w:numId w:val="4"/>
        </w:numPr>
        <w:spacing w:after="0" w:line="360" w:lineRule="auto"/>
        <w:jc w:val="both"/>
        <w:rPr>
          <w:rFonts w:ascii="FrankRuehl" w:hAnsi="FrankRuehl" w:cs="FrankRuehl"/>
          <w:sz w:val="28"/>
          <w:szCs w:val="28"/>
        </w:rPr>
      </w:pPr>
      <w:r>
        <w:rPr>
          <w:rFonts w:ascii="FrankRuehl" w:hAnsi="FrankRuehl" w:cs="FrankRuehl"/>
          <w:sz w:val="28"/>
          <w:szCs w:val="28"/>
          <w:rtl/>
        </w:rPr>
        <w:t xml:space="preserve">באישום הראשון, הורשעו הנאשמים 1 ו-2 בביצוע עבירה של מסירת דו"חות שכוללים ידיעה לא נכונה או לא מדויקת בלא הסבר סביר, עבירה לפי סעיף 117(א)(3) </w:t>
      </w:r>
      <w:r>
        <w:rPr>
          <w:rFonts w:ascii="Miriam" w:hAnsi="Miriam" w:cs="Miriam"/>
          <w:sz w:val="24"/>
          <w:szCs w:val="24"/>
          <w:rtl/>
        </w:rPr>
        <w:t>בחוק המע"מ</w:t>
      </w:r>
      <w:r>
        <w:rPr>
          <w:rFonts w:ascii="FrankRuehl" w:hAnsi="FrankRuehl" w:cs="FrankRuehl"/>
          <w:sz w:val="28"/>
          <w:szCs w:val="28"/>
          <w:rtl/>
        </w:rPr>
        <w:t xml:space="preserve"> (ריבוי עבירות).</w:t>
      </w:r>
    </w:p>
    <w:p w:rsidR="00A620FF" w:rsidRDefault="00A620FF" w:rsidP="00A620FF">
      <w:pPr>
        <w:pStyle w:val="ab"/>
        <w:numPr>
          <w:ilvl w:val="0"/>
          <w:numId w:val="4"/>
        </w:numPr>
        <w:spacing w:after="0" w:line="360" w:lineRule="auto"/>
        <w:jc w:val="both"/>
        <w:rPr>
          <w:rFonts w:ascii="FrankRuehl" w:hAnsi="FrankRuehl" w:cs="FrankRuehl"/>
          <w:sz w:val="28"/>
          <w:szCs w:val="28"/>
        </w:rPr>
      </w:pPr>
      <w:r>
        <w:rPr>
          <w:rFonts w:ascii="FrankRuehl" w:hAnsi="FrankRuehl" w:cs="FrankRuehl"/>
          <w:sz w:val="28"/>
          <w:szCs w:val="28"/>
          <w:rtl/>
        </w:rPr>
        <w:t xml:space="preserve">באישום השני, הורשעו הנאשמים 1 ו-3 בביצוע עבירה של מסירת דו"חות שכוללים ידיעה לא נכונה או לא מדויקת בלא הסבר סביר, עבירה לפי סעיף 117(א)(3) </w:t>
      </w:r>
      <w:r>
        <w:rPr>
          <w:rFonts w:ascii="Miriam" w:hAnsi="Miriam" w:cs="Miriam"/>
          <w:sz w:val="24"/>
          <w:szCs w:val="24"/>
          <w:rtl/>
        </w:rPr>
        <w:t>בחוק המע"מ</w:t>
      </w:r>
      <w:r>
        <w:rPr>
          <w:rFonts w:ascii="FrankRuehl" w:hAnsi="FrankRuehl" w:cs="FrankRuehl"/>
          <w:sz w:val="28"/>
          <w:szCs w:val="28"/>
          <w:rtl/>
        </w:rPr>
        <w:t xml:space="preserve"> (ריבוי עבירות).</w:t>
      </w:r>
    </w:p>
    <w:p w:rsidR="00A620FF" w:rsidRDefault="00A620FF" w:rsidP="00A620FF">
      <w:pPr>
        <w:pStyle w:val="ab"/>
        <w:numPr>
          <w:ilvl w:val="0"/>
          <w:numId w:val="4"/>
        </w:numPr>
        <w:spacing w:after="0" w:line="360" w:lineRule="auto"/>
        <w:jc w:val="both"/>
        <w:rPr>
          <w:rFonts w:ascii="FrankRuehl" w:hAnsi="FrankRuehl" w:cs="FrankRuehl"/>
          <w:sz w:val="28"/>
          <w:szCs w:val="28"/>
        </w:rPr>
      </w:pPr>
      <w:r>
        <w:rPr>
          <w:rFonts w:ascii="FrankRuehl" w:hAnsi="FrankRuehl" w:cs="FrankRuehl"/>
          <w:sz w:val="28"/>
          <w:szCs w:val="28"/>
          <w:rtl/>
        </w:rPr>
        <w:t xml:space="preserve">באישום השלישי, הורשעו הנאשמים 3-1 בביצוע ניהול פנקסי חשבונות ורשומות אחרות שהיה עליהם לנהל, בסטייה מהותית מן ההוראות, עבירה לפי סעיף 117(א)(7) </w:t>
      </w:r>
      <w:r>
        <w:rPr>
          <w:rFonts w:ascii="Miriam" w:hAnsi="Miriam" w:cs="Miriam"/>
          <w:sz w:val="24"/>
          <w:szCs w:val="24"/>
          <w:rtl/>
        </w:rPr>
        <w:t>בחוק המע"מ</w:t>
      </w:r>
      <w:r>
        <w:rPr>
          <w:rFonts w:ascii="FrankRuehl" w:hAnsi="FrankRuehl" w:cs="FrankRuehl"/>
          <w:sz w:val="28"/>
          <w:szCs w:val="28"/>
          <w:rtl/>
        </w:rPr>
        <w:t>.</w:t>
      </w:r>
    </w:p>
    <w:p w:rsidR="00A620FF" w:rsidRDefault="00A620FF" w:rsidP="00A620FF">
      <w:pPr>
        <w:spacing w:line="360" w:lineRule="auto"/>
        <w:jc w:val="both"/>
        <w:rPr>
          <w:rFonts w:ascii="FrankRuehl" w:hAnsi="FrankRuehl" w:cs="FrankRuehl"/>
          <w:sz w:val="28"/>
          <w:szCs w:val="28"/>
        </w:rPr>
      </w:pPr>
    </w:p>
    <w:p w:rsidR="00A620FF" w:rsidRDefault="00A620FF" w:rsidP="00A620FF">
      <w:pPr>
        <w:pStyle w:val="ab"/>
        <w:numPr>
          <w:ilvl w:val="0"/>
          <w:numId w:val="3"/>
        </w:numPr>
        <w:spacing w:after="0" w:line="360" w:lineRule="auto"/>
        <w:ind w:hanging="494"/>
        <w:jc w:val="both"/>
        <w:rPr>
          <w:rFonts w:ascii="FrankRuehl" w:hAnsi="FrankRuehl" w:cs="FrankRuehl"/>
          <w:sz w:val="28"/>
          <w:szCs w:val="28"/>
          <w:rtl/>
        </w:rPr>
      </w:pPr>
      <w:r>
        <w:rPr>
          <w:rFonts w:ascii="FrankRuehl" w:hAnsi="FrankRuehl" w:cs="FrankRuehl"/>
          <w:sz w:val="28"/>
          <w:szCs w:val="28"/>
          <w:rtl/>
        </w:rPr>
        <w:lastRenderedPageBreak/>
        <w:t xml:space="preserve">לפי החלק הכללי בכתב האישום המתוקן שהוגש במסגרת הסדר טיעון, חברת אור סריקה ותווינים בע"מ (הנאשמת 2) עוסקת בהפקת תוכניות ממוחשבות למהנדסים ואדריכלים והיא חברה פרטית שהתאגדה בישראל ונרשמה בחודש 01/1995 כעוסק מורשה לפי </w:t>
      </w:r>
      <w:r>
        <w:rPr>
          <w:rFonts w:ascii="Miriam" w:hAnsi="Miriam" w:cs="Miriam"/>
          <w:sz w:val="24"/>
          <w:szCs w:val="24"/>
          <w:rtl/>
        </w:rPr>
        <w:t>חוק המע"מ</w:t>
      </w:r>
      <w:r>
        <w:rPr>
          <w:rFonts w:ascii="FrankRuehl" w:hAnsi="FrankRuehl" w:cs="FrankRuehl"/>
          <w:sz w:val="28"/>
          <w:szCs w:val="28"/>
          <w:rtl/>
        </w:rPr>
        <w:t>. הנאשם היה מנהלה הפעיל והרשום בתקופה הרלבנטית לאישומים. הנאשמת 3, חברת אור סריקה והנדסה ממוחשבת, אף היא עוסקת בהפקת תוכניות ממוחשבות למהנדסים ואדריכלים והיא חברה שהתאגדה בישראל ונרשמה כעוסק מורשה לפי החוק המוזכר. גם ביחס אליה הנאשם הוא מנהלה הפעיל והרשום בתקופה הרלבנטית לאישומים.</w:t>
      </w:r>
    </w:p>
    <w:p w:rsidR="00A620FF" w:rsidRDefault="00A620FF" w:rsidP="00A620FF">
      <w:pPr>
        <w:pStyle w:val="ab"/>
        <w:spacing w:after="0" w:line="360" w:lineRule="auto"/>
        <w:jc w:val="both"/>
        <w:rPr>
          <w:rFonts w:ascii="FrankRuehl" w:hAnsi="FrankRuehl" w:cs="FrankRuehl"/>
          <w:sz w:val="28"/>
          <w:szCs w:val="28"/>
        </w:rPr>
      </w:pPr>
    </w:p>
    <w:p w:rsidR="00A620FF" w:rsidRDefault="00A620FF" w:rsidP="00A620FF">
      <w:pPr>
        <w:pStyle w:val="ab"/>
        <w:numPr>
          <w:ilvl w:val="0"/>
          <w:numId w:val="3"/>
        </w:numPr>
        <w:spacing w:after="0" w:line="360" w:lineRule="auto"/>
        <w:ind w:hanging="494"/>
        <w:jc w:val="both"/>
        <w:rPr>
          <w:rFonts w:ascii="FrankRuehl" w:hAnsi="FrankRuehl" w:cs="FrankRuehl"/>
          <w:sz w:val="28"/>
          <w:szCs w:val="28"/>
        </w:rPr>
      </w:pPr>
      <w:r>
        <w:rPr>
          <w:rFonts w:ascii="FrankRuehl" w:hAnsi="FrankRuehl" w:cs="FrankRuehl"/>
          <w:sz w:val="28"/>
          <w:szCs w:val="28"/>
          <w:rtl/>
        </w:rPr>
        <w:t>לפי האישום הראשון, הנאשמת 2, באמצעות הנאשם, הגישה בשנים 2017-2013 דו"חות תקופתיים בהם ניכּתה מס תשומות בסך 306,105 ₪ בלא שיש לה לגביו חשבניות מס כדין. במעשיהם אלה, מסרו הנאשמים המוזכרים דו"חות תקופתיים שכוללים ידיעה לא נכונה ללא הסבר סביר, בכך שכללו בדו"חות תשומות בלי שיש בידיהם חשבוניות מס כדין בסך המוזכר.</w:t>
      </w:r>
    </w:p>
    <w:p w:rsidR="00A620FF" w:rsidRDefault="00A620FF" w:rsidP="00A620FF">
      <w:pPr>
        <w:pStyle w:val="ab"/>
        <w:spacing w:after="0" w:line="360" w:lineRule="auto"/>
        <w:rPr>
          <w:rFonts w:ascii="FrankRuehl" w:hAnsi="FrankRuehl" w:cs="FrankRuehl"/>
          <w:sz w:val="28"/>
          <w:szCs w:val="28"/>
        </w:rPr>
      </w:pPr>
    </w:p>
    <w:p w:rsidR="00A620FF" w:rsidRDefault="00A620FF" w:rsidP="00A620FF">
      <w:pPr>
        <w:pStyle w:val="ab"/>
        <w:numPr>
          <w:ilvl w:val="0"/>
          <w:numId w:val="3"/>
        </w:numPr>
        <w:spacing w:after="0" w:line="360" w:lineRule="auto"/>
        <w:ind w:hanging="494"/>
        <w:jc w:val="both"/>
        <w:rPr>
          <w:rFonts w:ascii="FrankRuehl" w:hAnsi="FrankRuehl" w:cs="FrankRuehl"/>
          <w:sz w:val="28"/>
          <w:szCs w:val="28"/>
          <w:rtl/>
        </w:rPr>
      </w:pPr>
      <w:r>
        <w:rPr>
          <w:rFonts w:ascii="FrankRuehl" w:hAnsi="FrankRuehl" w:cs="FrankRuehl"/>
          <w:sz w:val="28"/>
          <w:szCs w:val="28"/>
          <w:rtl/>
        </w:rPr>
        <w:t>לפי האישום השני, הנאשמת 3, באמצעות הנאשם, הגישה בשנים 2017-2015 דו"חות תקופתיים בהם ניכּתה מס תשומות בסך 101,998 ₪ בלא שיש לה לגביו חשבניות מס כדין. במעשיהם אלה, מסרו הנאשמים המוזכרים דו"חות תקופתיים שכוללים ידיעה לא נכנה ללא הסבר סביר, בכך שכללו בדו"חות תשומות בלי שיש בידיהם חשבוניות מס כדין בסך המוזכר.</w:t>
      </w:r>
    </w:p>
    <w:p w:rsidR="00A620FF" w:rsidRDefault="00A620FF" w:rsidP="00A620FF">
      <w:pPr>
        <w:pStyle w:val="ab"/>
        <w:spacing w:after="0" w:line="360" w:lineRule="auto"/>
        <w:rPr>
          <w:rFonts w:ascii="FrankRuehl" w:hAnsi="FrankRuehl" w:cs="FrankRuehl"/>
          <w:sz w:val="28"/>
          <w:szCs w:val="28"/>
        </w:rPr>
      </w:pPr>
    </w:p>
    <w:p w:rsidR="00A620FF" w:rsidRDefault="00A620FF" w:rsidP="00A620FF">
      <w:pPr>
        <w:pStyle w:val="ab"/>
        <w:numPr>
          <w:ilvl w:val="0"/>
          <w:numId w:val="3"/>
        </w:numPr>
        <w:spacing w:after="0" w:line="360" w:lineRule="auto"/>
        <w:ind w:hanging="494"/>
        <w:jc w:val="both"/>
        <w:rPr>
          <w:rFonts w:ascii="FrankRuehl" w:hAnsi="FrankRuehl" w:cs="FrankRuehl"/>
          <w:sz w:val="28"/>
          <w:szCs w:val="28"/>
          <w:rtl/>
        </w:rPr>
      </w:pPr>
      <w:r>
        <w:rPr>
          <w:rFonts w:ascii="FrankRuehl" w:hAnsi="FrankRuehl" w:cs="FrankRuehl"/>
          <w:sz w:val="28"/>
          <w:szCs w:val="28"/>
          <w:rtl/>
        </w:rPr>
        <w:t xml:space="preserve">לפי האישום השלישי, בשנים 2017-2013 ניהלו החברות, באמצעות הנאשם, פנקסי חשבונות ורשומות אחרות שהיה עליהם לנהל בסטייה מהותית מהוראות </w:t>
      </w:r>
      <w:r>
        <w:rPr>
          <w:rFonts w:ascii="Miriam" w:hAnsi="Miriam" w:cs="Miriam"/>
          <w:sz w:val="24"/>
          <w:szCs w:val="24"/>
          <w:rtl/>
        </w:rPr>
        <w:t>חוק המע"מ</w:t>
      </w:r>
      <w:r>
        <w:rPr>
          <w:rFonts w:ascii="FrankRuehl" w:hAnsi="FrankRuehl" w:cs="FrankRuehl"/>
          <w:sz w:val="28"/>
          <w:szCs w:val="28"/>
          <w:rtl/>
        </w:rPr>
        <w:t xml:space="preserve"> והתקנות שעל-פיו.</w:t>
      </w:r>
    </w:p>
    <w:p w:rsidR="00A620FF" w:rsidRDefault="00A620FF" w:rsidP="00A620FF">
      <w:pPr>
        <w:pStyle w:val="ab"/>
        <w:spacing w:after="0" w:line="360" w:lineRule="auto"/>
        <w:rPr>
          <w:rFonts w:ascii="FrankRuehl" w:hAnsi="FrankRuehl" w:cs="FrankRuehl"/>
          <w:sz w:val="28"/>
          <w:szCs w:val="28"/>
        </w:rPr>
      </w:pPr>
    </w:p>
    <w:p w:rsidR="00A620FF" w:rsidRDefault="00A620FF" w:rsidP="00A620FF">
      <w:pPr>
        <w:pStyle w:val="ab"/>
        <w:numPr>
          <w:ilvl w:val="0"/>
          <w:numId w:val="3"/>
        </w:numPr>
        <w:spacing w:after="0" w:line="360" w:lineRule="auto"/>
        <w:ind w:hanging="494"/>
        <w:jc w:val="both"/>
        <w:rPr>
          <w:rFonts w:ascii="FrankRuehl" w:hAnsi="FrankRuehl" w:cs="FrankRuehl"/>
          <w:sz w:val="28"/>
          <w:szCs w:val="28"/>
          <w:rtl/>
        </w:rPr>
      </w:pPr>
      <w:r>
        <w:rPr>
          <w:rFonts w:ascii="FrankRuehl" w:hAnsi="FrankRuehl" w:cs="FrankRuehl"/>
          <w:sz w:val="28"/>
          <w:szCs w:val="28"/>
          <w:rtl/>
        </w:rPr>
        <w:t>מיד לאחר מתן הכרעת הדין, ביקשה ההגנה תסקיר של שירות המבחן בעניינו של הנאשם. תסקיר הוגש ביום 6.2.2023 ודיון טיעונים לעונש התקיים ביום 9.2.2023 במסגרתו עתרה ההגנה לביטול הרשעה.</w:t>
      </w:r>
    </w:p>
    <w:p w:rsidR="00A620FF" w:rsidRDefault="00A620FF" w:rsidP="00A620FF">
      <w:pPr>
        <w:pStyle w:val="ab"/>
        <w:spacing w:after="0" w:line="360" w:lineRule="auto"/>
        <w:rPr>
          <w:rFonts w:ascii="FrankRuehl" w:hAnsi="FrankRuehl" w:cs="FrankRuehl"/>
          <w:sz w:val="28"/>
          <w:szCs w:val="28"/>
        </w:rPr>
      </w:pPr>
    </w:p>
    <w:p w:rsidR="00A620FF" w:rsidRDefault="00A620FF" w:rsidP="00A620FF">
      <w:pPr>
        <w:pStyle w:val="ab"/>
        <w:numPr>
          <w:ilvl w:val="0"/>
          <w:numId w:val="3"/>
        </w:numPr>
        <w:spacing w:after="0" w:line="360" w:lineRule="auto"/>
        <w:ind w:hanging="494"/>
        <w:jc w:val="both"/>
        <w:rPr>
          <w:rFonts w:ascii="FrankRuehl" w:hAnsi="FrankRuehl" w:cs="FrankRuehl"/>
          <w:sz w:val="28"/>
          <w:szCs w:val="28"/>
          <w:rtl/>
        </w:rPr>
      </w:pPr>
      <w:r>
        <w:rPr>
          <w:rFonts w:ascii="FrankRuehl" w:hAnsi="FrankRuehl" w:cs="FrankRuehl"/>
          <w:sz w:val="28"/>
          <w:szCs w:val="28"/>
          <w:rtl/>
        </w:rPr>
        <w:lastRenderedPageBreak/>
        <w:t>זה המקום לציין כי בדיון שבו הוצג ההסדר, לא הוצגו הסכמות לעונש. לצד זאת, מדברי בא-כוח הנאשמים ניתן היה להבין כי "</w:t>
      </w:r>
      <w:r>
        <w:rPr>
          <w:rFonts w:ascii="Miriam" w:hAnsi="Miriam" w:cs="Miriam"/>
          <w:sz w:val="24"/>
          <w:szCs w:val="24"/>
          <w:rtl/>
        </w:rPr>
        <w:t>ההסדר כמעט סגור</w:t>
      </w:r>
      <w:r>
        <w:rPr>
          <w:rFonts w:ascii="FrankRuehl" w:hAnsi="FrankRuehl" w:cs="FrankRuehl"/>
          <w:sz w:val="28"/>
          <w:szCs w:val="28"/>
          <w:rtl/>
        </w:rPr>
        <w:t>" (ש' 17, ע' 7). קושי זה באי-הצגת ההסדר מראש התחדד בדיון הטיעונים לעונש כאשר עלתה לראשונה סוגיית ביטול ההרשעה, וגם לאור עמדת המאשימה לפיה יש להשית על הנאשם 7 חודשי מאסר זאת אל מול דברי ההגנה לפיהם הסיכום היה עד 3 חודשי מאסר שירוצו בעבודות שירות. מכל מקום, מטיעוני הצדדים בדיון הטיעונים לעונש, נראה כי ראו את עצמם חופשיים בטיעון לעונש וכך הם נהגו.</w:t>
      </w:r>
    </w:p>
    <w:p w:rsidR="00A620FF" w:rsidRDefault="00A620FF" w:rsidP="00A620FF">
      <w:pPr>
        <w:spacing w:line="360" w:lineRule="auto"/>
        <w:jc w:val="both"/>
        <w:rPr>
          <w:rFonts w:ascii="FrankRuehl" w:hAnsi="FrankRuehl" w:cs="FrankRuehl"/>
          <w:sz w:val="28"/>
          <w:szCs w:val="28"/>
        </w:rPr>
      </w:pPr>
    </w:p>
    <w:p w:rsidR="00A620FF" w:rsidRDefault="00A620FF" w:rsidP="00A620FF">
      <w:pPr>
        <w:spacing w:line="360" w:lineRule="auto"/>
        <w:jc w:val="both"/>
        <w:rPr>
          <w:rFonts w:ascii="Miriam" w:eastAsiaTheme="minorHAnsi" w:hAnsi="Miriam" w:cs="Miriam"/>
          <w:u w:val="single"/>
          <w:rtl/>
        </w:rPr>
      </w:pPr>
      <w:r>
        <w:rPr>
          <w:rFonts w:ascii="Miriam" w:eastAsiaTheme="minorHAnsi" w:hAnsi="Miriam" w:cs="Miriam"/>
          <w:u w:val="single"/>
          <w:rtl/>
        </w:rPr>
        <w:t>התסקיר</w:t>
      </w:r>
    </w:p>
    <w:p w:rsidR="00A620FF" w:rsidRDefault="00A620FF" w:rsidP="00A620FF">
      <w:pPr>
        <w:spacing w:line="360" w:lineRule="auto"/>
        <w:jc w:val="both"/>
        <w:rPr>
          <w:rFonts w:ascii="FrankRuehl" w:eastAsiaTheme="minorHAnsi" w:hAnsi="FrankRuehl" w:cs="FrankRuehl"/>
          <w:sz w:val="28"/>
          <w:szCs w:val="28"/>
          <w:rtl/>
        </w:rPr>
      </w:pPr>
    </w:p>
    <w:p w:rsidR="00A620FF" w:rsidRDefault="00A620FF" w:rsidP="00A620FF">
      <w:pPr>
        <w:pStyle w:val="ab"/>
        <w:numPr>
          <w:ilvl w:val="0"/>
          <w:numId w:val="3"/>
        </w:numPr>
        <w:spacing w:after="0" w:line="360" w:lineRule="auto"/>
        <w:ind w:hanging="494"/>
        <w:jc w:val="both"/>
        <w:rPr>
          <w:rFonts w:ascii="FrankRuehl" w:hAnsi="FrankRuehl" w:cs="FrankRuehl"/>
          <w:sz w:val="28"/>
          <w:szCs w:val="28"/>
          <w:rtl/>
        </w:rPr>
      </w:pPr>
      <w:r>
        <w:rPr>
          <w:rFonts w:ascii="FrankRuehl" w:hAnsi="FrankRuehl" w:cs="FrankRuehl"/>
          <w:sz w:val="28"/>
          <w:szCs w:val="28"/>
          <w:rtl/>
        </w:rPr>
        <w:t>לפי התסקיר (בתמצית מתוך שמירה על צנעת הפרט), הנאשם בסוף שנות ה-60' לחייו ואב לארבעה ילידים בגירים, כאשר שלושה מהם מתגוררים דרך קבע בארצות-הברית (ארה"ב). הנאשם עצמו בעל אזרחות קנדית ומתגורר לסירוגין בקנדה ובישראל. הנאשם גדל במשפחה קשת יום, השלים 12 שנות לימוד, שירת בצבא ולאחר מכן יצא לשוק העבודה. לימים הוא הקים חברות לבניית תוכניות ממוחשבות למהנדסים שמספקות שירותים לגופים רבים. לנאשם אין עבר פלילי. ביחס לעבירות מושא האישומים, הנאשם נטל אחריות מלאה והביע חרטה. היא תיאר לפני שירות המבחן כי פעל בתום לב עת בחר לנהל לעצמו את ספריו במקום מנהל החשבונות שאיבד בו אמון. הוא שילם את חובו לפני שהועמד לדין. בשל ההליך המשפטי, הנאשם סובל מדחק נפשי ולכן הוא מטופל פסיכולוגית (שירות המבחן קיבל מסמכים מהפסיכותרפיסט המטפל בנאשם) וגם עבר מספר צנתורים עקב אירועים לבביים.</w:t>
      </w:r>
    </w:p>
    <w:p w:rsidR="00A620FF" w:rsidRDefault="00A620FF" w:rsidP="00A620FF">
      <w:pPr>
        <w:pStyle w:val="ab"/>
        <w:spacing w:after="0" w:line="360" w:lineRule="auto"/>
        <w:jc w:val="both"/>
        <w:rPr>
          <w:rFonts w:ascii="FrankRuehl" w:hAnsi="FrankRuehl" w:cs="FrankRuehl"/>
          <w:sz w:val="28"/>
          <w:szCs w:val="28"/>
        </w:rPr>
      </w:pPr>
    </w:p>
    <w:p w:rsidR="00A620FF" w:rsidRDefault="00A620FF" w:rsidP="00A620FF">
      <w:pPr>
        <w:pStyle w:val="ab"/>
        <w:numPr>
          <w:ilvl w:val="0"/>
          <w:numId w:val="3"/>
        </w:numPr>
        <w:spacing w:after="0" w:line="360" w:lineRule="auto"/>
        <w:ind w:hanging="494"/>
        <w:jc w:val="both"/>
        <w:rPr>
          <w:rFonts w:ascii="FrankRuehl" w:hAnsi="FrankRuehl" w:cs="FrankRuehl"/>
          <w:sz w:val="28"/>
          <w:szCs w:val="28"/>
        </w:rPr>
      </w:pPr>
      <w:r>
        <w:rPr>
          <w:rFonts w:ascii="FrankRuehl" w:hAnsi="FrankRuehl" w:cs="FrankRuehl"/>
          <w:sz w:val="28"/>
          <w:szCs w:val="28"/>
          <w:rtl/>
        </w:rPr>
        <w:t>אשר להערכת הסיכון להישנות מעשה עברייני, בתסקיר, כמעט ואין אינדיקציות לקיומם של גורמים כאלה מלבד חומרת העבירות שבהן הוא הודה. ביחס לגורמי הסיכוי לשיקום, ניתנה הדעת בתסקיר לעובדה לפיה מתפקד הנאשם באופן נורמטיבי, ההגעה להישגים מבחינה תעסוקתית, כלכלית ומשפחתית, וכן ניתנה הדעת להעדר עבר פלילי, לנטילת האחריות על מעשיו והסרת מחדלו באי-תשלום חוב המס וכן להעסקת מנהל חשבונות. התסקיר בא בהמלצה עונשית בדמות 100 שעות לתועלת הציבור (של"צ), ולא רק.</w:t>
      </w:r>
    </w:p>
    <w:p w:rsidR="00A620FF" w:rsidRDefault="00A620FF" w:rsidP="00A620FF">
      <w:pPr>
        <w:pStyle w:val="ab"/>
        <w:spacing w:after="0" w:line="360" w:lineRule="auto"/>
        <w:rPr>
          <w:rFonts w:ascii="FrankRuehl" w:hAnsi="FrankRuehl" w:cs="FrankRuehl"/>
          <w:sz w:val="28"/>
          <w:szCs w:val="28"/>
        </w:rPr>
      </w:pPr>
    </w:p>
    <w:p w:rsidR="00A620FF" w:rsidRDefault="00A620FF" w:rsidP="00A620FF">
      <w:pPr>
        <w:pStyle w:val="ab"/>
        <w:numPr>
          <w:ilvl w:val="0"/>
          <w:numId w:val="3"/>
        </w:numPr>
        <w:spacing w:after="0" w:line="360" w:lineRule="auto"/>
        <w:ind w:hanging="494"/>
        <w:jc w:val="both"/>
        <w:rPr>
          <w:rFonts w:ascii="FrankRuehl" w:hAnsi="FrankRuehl" w:cs="FrankRuehl"/>
          <w:sz w:val="28"/>
          <w:szCs w:val="28"/>
          <w:rtl/>
        </w:rPr>
      </w:pPr>
      <w:r>
        <w:rPr>
          <w:rFonts w:ascii="FrankRuehl" w:hAnsi="FrankRuehl" w:cs="FrankRuehl"/>
          <w:sz w:val="28"/>
          <w:szCs w:val="28"/>
          <w:rtl/>
        </w:rPr>
        <w:lastRenderedPageBreak/>
        <w:t>על-יסוד מסמכים שהציג הנאשם לשירות המבחן ולפיהם יימנע מהחברות שבבעלותו לגשת למכרזים נוכח הרשעתו, הפגיעה ביכולת לקבל מימון בנקאי להמשך פעילותו, זאת לצד החשש שמא הרשעתו "תמנע" ממנו האפשרות להמשיך לחיות בקנדה וגם לבקר בארה"ב (הוצגה חוות דעת בנדון לשירות המבחן), התסקיר ממליץ על ביטול ההרשעה בנסיבות אלו. חשוב לציין בהקשר זה, כי המלצת שירות המבחן באה מבלי שבית המשפט יורה לו על בחינת שאלה זו.</w:t>
      </w:r>
    </w:p>
    <w:p w:rsidR="00A620FF" w:rsidRDefault="00A620FF" w:rsidP="00A620FF">
      <w:pPr>
        <w:spacing w:line="360" w:lineRule="auto"/>
        <w:jc w:val="both"/>
        <w:rPr>
          <w:rFonts w:ascii="Miriam" w:eastAsiaTheme="minorHAnsi" w:hAnsi="Miriam" w:cs="Miriam"/>
          <w:u w:val="single"/>
        </w:rPr>
      </w:pPr>
    </w:p>
    <w:p w:rsidR="00A620FF" w:rsidRDefault="00A620FF" w:rsidP="00A620FF">
      <w:pPr>
        <w:spacing w:line="360" w:lineRule="auto"/>
        <w:jc w:val="both"/>
        <w:rPr>
          <w:rFonts w:ascii="Miriam" w:eastAsiaTheme="minorHAnsi" w:hAnsi="Miriam" w:cs="Miriam"/>
          <w:u w:val="single"/>
          <w:rtl/>
        </w:rPr>
      </w:pPr>
      <w:r>
        <w:rPr>
          <w:rFonts w:ascii="Miriam" w:eastAsiaTheme="minorHAnsi" w:hAnsi="Miriam" w:cs="Miriam"/>
          <w:u w:val="single"/>
          <w:rtl/>
        </w:rPr>
        <w:t>עיקרי טענות הצדדים לעונש</w:t>
      </w:r>
    </w:p>
    <w:p w:rsidR="00A620FF" w:rsidRDefault="00A620FF" w:rsidP="00A620FF">
      <w:pPr>
        <w:spacing w:line="360" w:lineRule="auto"/>
        <w:ind w:left="720"/>
        <w:contextualSpacing/>
        <w:jc w:val="both"/>
        <w:rPr>
          <w:rFonts w:ascii="FrankRuehl" w:hAnsi="FrankRuehl" w:cs="FrankRuehl"/>
          <w:sz w:val="28"/>
          <w:szCs w:val="28"/>
        </w:rPr>
      </w:pPr>
    </w:p>
    <w:p w:rsidR="00A620FF" w:rsidRDefault="00A620FF" w:rsidP="00A620FF">
      <w:pPr>
        <w:numPr>
          <w:ilvl w:val="0"/>
          <w:numId w:val="3"/>
        </w:numPr>
        <w:spacing w:line="360" w:lineRule="auto"/>
        <w:ind w:hanging="494"/>
        <w:contextualSpacing/>
        <w:jc w:val="both"/>
        <w:rPr>
          <w:rFonts w:ascii="FrankRuehl" w:hAnsi="FrankRuehl" w:cs="FrankRuehl"/>
          <w:sz w:val="28"/>
          <w:szCs w:val="28"/>
          <w:rtl/>
        </w:rPr>
      </w:pPr>
      <w:r>
        <w:rPr>
          <w:rFonts w:ascii="FrankRuehl" w:hAnsi="FrankRuehl" w:cs="FrankRuehl"/>
          <w:sz w:val="28"/>
          <w:szCs w:val="28"/>
          <w:rtl/>
        </w:rPr>
        <w:t>המאשימה מתנגדת לביטול ההרשעה מאחר ולא הוכח קיומם של התנאים שמצדיקים זאת. תחילה נטען כי נושא זה לא היה חלק מהסדר הטיעון. בהמשך עתרה המאשימה להשתת עונש אשר, כפי שמסתבר, אינו חלק מההסדר שהיה מוסכם בין הצדדים ולא הוצג לבית המשפט, כך שבפועל, ההסדר נותר על כנו אך הצדדים טענו באופן חופשי לעונש. המאשימה, ולאחר שעמדה על הערכים המוגנים שבעבירות מושא האישומים והם מניעת הפגיעה בחוסן הכלכלי של הציבור והפגיעה בעקרון השוויון בנשיאה בנטל המס, גורסת כי יש לבכר את עיקרון ההרתעה והגמול בענישה על-פני נסיבותיו האישיות של הנאשם.</w:t>
      </w:r>
    </w:p>
    <w:p w:rsidR="00A620FF" w:rsidRDefault="00A620FF" w:rsidP="00A620FF">
      <w:pPr>
        <w:spacing w:line="360" w:lineRule="auto"/>
        <w:ind w:left="720"/>
        <w:contextualSpacing/>
        <w:jc w:val="both"/>
        <w:rPr>
          <w:rFonts w:ascii="FrankRuehl" w:hAnsi="FrankRuehl" w:cs="FrankRuehl"/>
          <w:sz w:val="28"/>
          <w:szCs w:val="28"/>
        </w:rPr>
      </w:pPr>
    </w:p>
    <w:p w:rsidR="00A620FF" w:rsidRDefault="00A620FF" w:rsidP="00A620FF">
      <w:pPr>
        <w:numPr>
          <w:ilvl w:val="0"/>
          <w:numId w:val="3"/>
        </w:numPr>
        <w:spacing w:line="360" w:lineRule="auto"/>
        <w:ind w:hanging="494"/>
        <w:contextualSpacing/>
        <w:jc w:val="both"/>
        <w:rPr>
          <w:rFonts w:ascii="FrankRuehl" w:hAnsi="FrankRuehl" w:cs="FrankRuehl"/>
          <w:sz w:val="28"/>
          <w:szCs w:val="28"/>
        </w:rPr>
      </w:pPr>
      <w:r>
        <w:rPr>
          <w:rFonts w:ascii="FrankRuehl" w:hAnsi="FrankRuehl" w:cs="FrankRuehl"/>
          <w:sz w:val="28"/>
          <w:szCs w:val="28"/>
          <w:rtl/>
        </w:rPr>
        <w:t>במקרה לפנינו, כך לעמדת המאשימה, העבירות בוצעו במשך תקופה ארוכה והיקפן גדול (למעלה מ-400,000 ₪) ומכאן חומרתן. מתחם הענישה הראוי לכל העבירות נע בין 4 עד 9 חודשי מאסר, לצד ענישה נלווית שכוללת קנס בגובה 5%-10% מסכום המחדל. בעניינו של הנאשם, בהינתן גילו, נסיבותיו האישיות והעובדה לפיה המחדל הוסר "</w:t>
      </w:r>
      <w:r>
        <w:rPr>
          <w:rFonts w:ascii="Miriam" w:hAnsi="Miriam" w:cs="Miriam"/>
          <w:rtl/>
        </w:rPr>
        <w:t>באופן יחסית מהיר</w:t>
      </w:r>
      <w:r>
        <w:rPr>
          <w:rFonts w:ascii="FrankRuehl" w:hAnsi="FrankRuehl" w:cs="FrankRuehl"/>
          <w:sz w:val="28"/>
          <w:szCs w:val="28"/>
          <w:rtl/>
        </w:rPr>
        <w:t>" (ש' 21, ע' 12), עותרת המאשימה להשית עליו 7 חודשי מאסר שיכול וירוצו בעבודות שירות, מאסר מותנה וקנס בגובה 35,000 ₪ לצד התחייבות. ביחס לחברות, עותרת המאשימה להשית על כל אחת מהן קנס בגובה 20,000 ₪.</w:t>
      </w:r>
    </w:p>
    <w:p w:rsidR="00A620FF" w:rsidRDefault="00A620FF" w:rsidP="00A620FF">
      <w:pPr>
        <w:pStyle w:val="ab"/>
        <w:spacing w:after="0" w:line="360" w:lineRule="auto"/>
        <w:rPr>
          <w:rFonts w:ascii="FrankRuehl" w:hAnsi="FrankRuehl" w:cs="FrankRuehl"/>
          <w:sz w:val="28"/>
          <w:szCs w:val="28"/>
        </w:rPr>
      </w:pPr>
    </w:p>
    <w:p w:rsidR="00A620FF" w:rsidRDefault="00A620FF" w:rsidP="00A620FF">
      <w:pPr>
        <w:numPr>
          <w:ilvl w:val="0"/>
          <w:numId w:val="3"/>
        </w:numPr>
        <w:spacing w:line="360" w:lineRule="auto"/>
        <w:ind w:hanging="494"/>
        <w:contextualSpacing/>
        <w:jc w:val="both"/>
        <w:rPr>
          <w:rFonts w:ascii="FrankRuehl" w:hAnsi="FrankRuehl" w:cs="FrankRuehl"/>
          <w:sz w:val="28"/>
          <w:szCs w:val="28"/>
          <w:rtl/>
        </w:rPr>
      </w:pPr>
      <w:r>
        <w:rPr>
          <w:rFonts w:ascii="FrankRuehl" w:hAnsi="FrankRuehl" w:cs="FrankRuehl"/>
          <w:sz w:val="28"/>
          <w:szCs w:val="28"/>
          <w:rtl/>
        </w:rPr>
        <w:t xml:space="preserve">הנאשם – באמצעות בא-כוחו </w:t>
      </w:r>
      <w:r>
        <w:rPr>
          <w:rFonts w:ascii="Miriam" w:hAnsi="Miriam" w:cs="Miriam"/>
          <w:rtl/>
        </w:rPr>
        <w:t>עו"ד יעקב קסטל</w:t>
      </w:r>
      <w:r>
        <w:rPr>
          <w:rFonts w:ascii="FrankRuehl" w:hAnsi="FrankRuehl" w:cs="FrankRuehl"/>
          <w:sz w:val="28"/>
          <w:szCs w:val="28"/>
          <w:rtl/>
        </w:rPr>
        <w:t xml:space="preserve"> – עמד מנגד, בין השאר, על כך שהוא ביצע את העבירות ללא כוונה תחילה ולא בשיטתיות אלא הטעות שלו חזרה על עצמה. הנאשם שהיה חסר שביעות רצון ממנהל החשבונות שלו (אשר לימים גם הורשע בפלילים), נטל על עצמו את מלאכת הדיווח לרשויות המס. הוא לא הבין כי בדיווח על הוצאות לצורך </w:t>
      </w:r>
      <w:r>
        <w:rPr>
          <w:rFonts w:ascii="FrankRuehl" w:hAnsi="FrankRuehl" w:cs="FrankRuehl"/>
          <w:sz w:val="28"/>
          <w:szCs w:val="28"/>
          <w:rtl/>
        </w:rPr>
        <w:lastRenderedPageBreak/>
        <w:t>קיזוז מס תשומות עליו לצרף חשבוניות. בתוך כך, הוא דיווח על כל הוצאותיו שהיו לו ללא צירוף חשבוניות מתאימות, וכלשון בא-כוח הנאשם: "</w:t>
      </w:r>
      <w:r>
        <w:rPr>
          <w:rFonts w:ascii="Miriam" w:hAnsi="Miriam" w:cs="Miriam"/>
          <w:rtl/>
        </w:rPr>
        <w:t>זה טוב למס הכנסה אבל לא למע"מ שקיזוז על ידי חשבוניות פיזיות. שם היתה הנפילה שלו באופן עקבי וחזרתי</w:t>
      </w:r>
      <w:r>
        <w:rPr>
          <w:rFonts w:ascii="FrankRuehl" w:hAnsi="FrankRuehl" w:cs="FrankRuehl"/>
          <w:sz w:val="28"/>
          <w:szCs w:val="28"/>
          <w:rtl/>
        </w:rPr>
        <w:t>" (ש' 29-28, ע' 14). בנוסף לא התאפשר לו לבצע דיווחים מקוונים (הכרוכים בצירוף החשבוניות בזמן אמת) דבר שיכל להעמידו על טעותו. מכל מקום, לאחר שניגש למנהל חשבונות חדש וזה ביצע את הדיווחים הנכונים, הנאשם שילם את חובו עוד לפני נקיטת ההליך המשפטי. הנאשם עמד על מצבו הרפואי והנפשי המורכבים עקב ההליך המשפטי, וגם על הפגיעה הצפויה בפרנסתו והפגיעה באשרת השהייה שלו בארה"ב – לפי שיקול דעת – עקב הותרת ההרשעה.</w:t>
      </w:r>
    </w:p>
    <w:p w:rsidR="00A620FF" w:rsidRDefault="00A620FF" w:rsidP="00A620FF">
      <w:pPr>
        <w:pStyle w:val="ab"/>
        <w:spacing w:after="0" w:line="360" w:lineRule="auto"/>
        <w:rPr>
          <w:rFonts w:ascii="FrankRuehl" w:hAnsi="FrankRuehl" w:cs="FrankRuehl"/>
          <w:sz w:val="28"/>
          <w:szCs w:val="28"/>
        </w:rPr>
      </w:pPr>
    </w:p>
    <w:p w:rsidR="00A620FF" w:rsidRDefault="00A620FF" w:rsidP="00A620FF">
      <w:pPr>
        <w:numPr>
          <w:ilvl w:val="0"/>
          <w:numId w:val="3"/>
        </w:numPr>
        <w:spacing w:line="360" w:lineRule="auto"/>
        <w:ind w:hanging="494"/>
        <w:contextualSpacing/>
        <w:jc w:val="both"/>
        <w:rPr>
          <w:rFonts w:ascii="FrankRuehl" w:hAnsi="FrankRuehl" w:cs="FrankRuehl"/>
          <w:sz w:val="28"/>
          <w:szCs w:val="28"/>
          <w:rtl/>
        </w:rPr>
      </w:pPr>
      <w:r>
        <w:rPr>
          <w:rFonts w:ascii="FrankRuehl" w:hAnsi="FrankRuehl" w:cs="FrankRuehl"/>
          <w:sz w:val="28"/>
          <w:szCs w:val="28"/>
          <w:rtl/>
        </w:rPr>
        <w:t xml:space="preserve">גם הנאשם עצמו דיבר לפניי. הנאשם תיאר כי פעל בתום לב והוא נוטל אחריות מלאה על מעשיו. הנאשם תיאר גם את תרומתו לחברה, ובעיקר, לנוער במצוקה זאת בזיקה לתקופת צעירותו והשכונה שבה הוא גדל. הנאשם תיאר כי כיום הוא מטופל נפשית באופן עקבי ועבר שני צנתורים. עסקו שמבוסס על מכרזים, ייפגע באופן משמעותי עם הותרת הרשעתו על כנה מאחר ולא יתאפשר לחברות להשתתף במכרזים. זה יפגע בו, בעסקו על 15 העובדים שלו. בנוסף, לדבריו, כבר נפגע המימון הבנקאי שמגיע לעסק. עוד הוא תיאר – בדמעות – כי ההרשעה תפגע ממשית בפרנסת המשפחה, במיוחד שעה שאין לו פנסיה ונזקק לעזרה כספית מילדיו. </w:t>
      </w:r>
    </w:p>
    <w:p w:rsidR="00A620FF" w:rsidRDefault="00A620FF" w:rsidP="00A620FF">
      <w:pPr>
        <w:spacing w:line="360" w:lineRule="auto"/>
        <w:jc w:val="both"/>
        <w:rPr>
          <w:rFonts w:ascii="FrankRuehl" w:eastAsiaTheme="minorHAnsi" w:hAnsi="FrankRuehl" w:cs="FrankRuehl"/>
          <w:sz w:val="20"/>
          <w:szCs w:val="20"/>
        </w:rPr>
      </w:pPr>
    </w:p>
    <w:p w:rsidR="00A620FF" w:rsidRDefault="00A620FF" w:rsidP="00A620FF">
      <w:pPr>
        <w:spacing w:line="360" w:lineRule="auto"/>
        <w:jc w:val="both"/>
        <w:rPr>
          <w:rFonts w:ascii="Miriam" w:hAnsi="Miriam" w:cs="Miriam"/>
          <w:u w:val="single"/>
          <w:rtl/>
        </w:rPr>
      </w:pPr>
      <w:r>
        <w:rPr>
          <w:rFonts w:ascii="Miriam" w:hAnsi="Miriam" w:cs="Miriam"/>
          <w:u w:val="single"/>
          <w:rtl/>
        </w:rPr>
        <w:t>דיון והכרעה</w:t>
      </w:r>
    </w:p>
    <w:p w:rsidR="00A620FF" w:rsidRDefault="00A620FF" w:rsidP="00A620FF">
      <w:pPr>
        <w:spacing w:line="360" w:lineRule="auto"/>
        <w:jc w:val="both"/>
        <w:rPr>
          <w:rFonts w:ascii="Miriam" w:hAnsi="Miriam" w:cs="Miriam"/>
          <w:u w:val="single"/>
          <w:rtl/>
        </w:rPr>
      </w:pPr>
    </w:p>
    <w:p w:rsidR="00A620FF" w:rsidRDefault="00A620FF" w:rsidP="00A620FF">
      <w:pPr>
        <w:numPr>
          <w:ilvl w:val="0"/>
          <w:numId w:val="3"/>
        </w:numPr>
        <w:spacing w:line="360" w:lineRule="auto"/>
        <w:ind w:hanging="494"/>
        <w:contextualSpacing/>
        <w:jc w:val="both"/>
        <w:rPr>
          <w:rFonts w:ascii="FrankRuehl" w:hAnsi="FrankRuehl" w:cs="FrankRuehl"/>
          <w:sz w:val="28"/>
          <w:szCs w:val="28"/>
        </w:rPr>
      </w:pPr>
      <w:r>
        <w:rPr>
          <w:rFonts w:ascii="FrankRuehl" w:hAnsi="FrankRuehl" w:cs="FrankRuehl"/>
          <w:sz w:val="28"/>
          <w:szCs w:val="28"/>
          <w:rtl/>
        </w:rPr>
        <w:t xml:space="preserve">לפי סעיף 40ב </w:t>
      </w:r>
      <w:r>
        <w:rPr>
          <w:rFonts w:ascii="Miriam" w:hAnsi="Miriam" w:cs="Miriam"/>
          <w:rtl/>
        </w:rPr>
        <w:t>בחוק העונשין, התשל"ז-1977</w:t>
      </w:r>
      <w:r>
        <w:rPr>
          <w:rFonts w:ascii="FrankRuehl" w:hAnsi="FrankRuehl" w:cs="FrankRuehl"/>
          <w:sz w:val="28"/>
          <w:szCs w:val="28"/>
          <w:rtl/>
        </w:rPr>
        <w:t xml:space="preserve"> (להלן: "</w:t>
      </w:r>
      <w:r>
        <w:rPr>
          <w:rFonts w:ascii="Miriam" w:hAnsi="Miriam" w:cs="Miriam"/>
          <w:rtl/>
        </w:rPr>
        <w:t>חוק העונשין</w:t>
      </w:r>
      <w:r>
        <w:rPr>
          <w:rFonts w:ascii="FrankRuehl" w:hAnsi="FrankRuehl" w:cs="FrankRuehl"/>
          <w:sz w:val="28"/>
          <w:szCs w:val="28"/>
          <w:rtl/>
        </w:rPr>
        <w:t>") העיקרון המנחה בענישה הוא קיומו של יחס הולם בין חומרת מעשה העבירה בנסיבותיו ומידת אשמו של הנאשם ובין סוג ומידת העונש המוטל. לפי סעיף 40ג(א), לקביעת מתחם העונש ההולם, בית המשפט "</w:t>
      </w:r>
      <w:r>
        <w:rPr>
          <w:rFonts w:ascii="Miriam" w:hAnsi="Miriam" w:cs="Miriam"/>
          <w:rtl/>
        </w:rPr>
        <w:t>יתחשב בערך החברתי שנפגע מביצוע העבירה, במידת הפגיעה בו, במדיניות הענישה הנהוגה ובנסיבות הקשורות בביצוע העבירה כאמור בסעיף 40ט</w:t>
      </w:r>
      <w:r>
        <w:rPr>
          <w:rFonts w:ascii="FrankRuehl" w:hAnsi="FrankRuehl" w:cs="FrankRuehl"/>
          <w:sz w:val="28"/>
          <w:szCs w:val="28"/>
          <w:rtl/>
        </w:rPr>
        <w:t>", ולפי סעיף 40ג(ב) "</w:t>
      </w:r>
      <w:r>
        <w:rPr>
          <w:rFonts w:ascii="Miriam" w:hAnsi="Miriam" w:cs="Miriam"/>
          <w:rtl/>
        </w:rPr>
        <w:t>בתוך מתחם העונש ההולם יגזור בית המשפט את העונש המתאים לנאשם, בהתחשב בנסיבות שאינן קשורות בביצוע העבירה...</w:t>
      </w:r>
      <w:r>
        <w:rPr>
          <w:rFonts w:ascii="FrankRuehl" w:hAnsi="FrankRuehl" w:cs="FrankRuehl"/>
          <w:sz w:val="28"/>
          <w:szCs w:val="28"/>
          <w:rtl/>
        </w:rPr>
        <w:t>".</w:t>
      </w:r>
    </w:p>
    <w:p w:rsidR="00A620FF" w:rsidRDefault="00A620FF" w:rsidP="00A620FF">
      <w:pPr>
        <w:spacing w:line="360" w:lineRule="auto"/>
        <w:ind w:left="720"/>
        <w:contextualSpacing/>
        <w:jc w:val="both"/>
        <w:rPr>
          <w:rFonts w:ascii="FrankRuehl" w:hAnsi="FrankRuehl" w:cs="FrankRuehl"/>
          <w:sz w:val="28"/>
          <w:szCs w:val="28"/>
        </w:rPr>
      </w:pPr>
    </w:p>
    <w:p w:rsidR="00A620FF" w:rsidRDefault="00A620FF" w:rsidP="00A620FF">
      <w:pPr>
        <w:numPr>
          <w:ilvl w:val="0"/>
          <w:numId w:val="3"/>
        </w:numPr>
        <w:spacing w:line="360" w:lineRule="auto"/>
        <w:ind w:hanging="494"/>
        <w:contextualSpacing/>
        <w:jc w:val="both"/>
        <w:rPr>
          <w:rFonts w:ascii="FrankRuehl" w:hAnsi="FrankRuehl" w:cs="FrankRuehl"/>
          <w:sz w:val="28"/>
          <w:szCs w:val="28"/>
        </w:rPr>
      </w:pPr>
      <w:r>
        <w:rPr>
          <w:rFonts w:ascii="Miriam" w:hAnsi="Miriam" w:cs="Miriam"/>
          <w:rtl/>
        </w:rPr>
        <w:lastRenderedPageBreak/>
        <w:t>הערכים המוגנים</w:t>
      </w:r>
      <w:r>
        <w:rPr>
          <w:rFonts w:ascii="FrankRuehl" w:hAnsi="FrankRuehl" w:cs="FrankRuehl"/>
          <w:sz w:val="28"/>
          <w:szCs w:val="28"/>
          <w:rtl/>
        </w:rPr>
        <w:t xml:space="preserve">: אין להכביר במילים באשר לפגיעה בערכים החברתיים והכלכליים שנפגעים עקב נטילת החוק לידיים ואי-ביצוע תשלום המס המתחייב. הפגיעה היא כלכלית בקופה הציבורית ובחוסן הכלכלי של החברה ככלל, ולצדה פגיעה חברתית בערך השוויון בנשיאה בנטל המס; שעה שפלוני עמל ומשלם את חובו הפיסקלי בעוד אלמוני "נהנה" מדיווחי אי-אמת (או העדר דיווח בכלל) וכנובע מכך משלם מס בחסר או לא משלם מס בכלל כמתחייב ממנו. הדברים עולים בחומרתם עת מדובר בדיווחים שעל-יסודם הנישום מקבל החזרים מהקופה הציבורית (טול דוגמת השימוש בחשבוניות פיקטיביות לקיזוז מס תשומות אשר על בסיסן מקבל החזרים מהקופה הציבורית). מדובר גם בעבירות קלות לביצוע אך קשה להתחקות אחריהן ואחרי מבצעיהן. מכאן, ככלל, קיימת חשיבות למתן בכורה לאינטרס הציבורי ושיקולי ההרתעה על-פני הנסיבות האישיות של הנישום (רע"פ 3857/13 </w:t>
      </w:r>
      <w:r>
        <w:rPr>
          <w:rFonts w:ascii="Miriam" w:hAnsi="Miriam" w:cs="Miriam"/>
          <w:rtl/>
        </w:rPr>
        <w:t>יצחקיאן נ' מדינת ישראל</w:t>
      </w:r>
      <w:r>
        <w:rPr>
          <w:rFonts w:ascii="FrankRuehl" w:hAnsi="FrankRuehl" w:cs="FrankRuehl"/>
          <w:sz w:val="28"/>
          <w:szCs w:val="28"/>
          <w:rtl/>
        </w:rPr>
        <w:t xml:space="preserve">, פסקה 7 (30.7.2013)). </w:t>
      </w:r>
    </w:p>
    <w:p w:rsidR="00A620FF" w:rsidRDefault="00A620FF" w:rsidP="00A620FF">
      <w:pPr>
        <w:pStyle w:val="ab"/>
        <w:rPr>
          <w:rFonts w:ascii="FrankRuehl" w:hAnsi="FrankRuehl" w:cs="FrankRuehl"/>
          <w:sz w:val="28"/>
          <w:szCs w:val="28"/>
        </w:rPr>
      </w:pPr>
    </w:p>
    <w:p w:rsidR="00A620FF" w:rsidRDefault="00A620FF" w:rsidP="00A620FF">
      <w:pPr>
        <w:numPr>
          <w:ilvl w:val="0"/>
          <w:numId w:val="3"/>
        </w:numPr>
        <w:spacing w:line="360" w:lineRule="auto"/>
        <w:ind w:hanging="494"/>
        <w:contextualSpacing/>
        <w:jc w:val="both"/>
        <w:rPr>
          <w:rFonts w:ascii="FrankRuehl" w:hAnsi="FrankRuehl" w:cs="FrankRuehl"/>
          <w:sz w:val="28"/>
          <w:szCs w:val="28"/>
          <w:rtl/>
        </w:rPr>
      </w:pPr>
      <w:r>
        <w:rPr>
          <w:rFonts w:ascii="FrankRuehl" w:hAnsi="FrankRuehl" w:cs="FrankRuehl"/>
          <w:sz w:val="28"/>
          <w:szCs w:val="28"/>
          <w:rtl/>
        </w:rPr>
        <w:t xml:space="preserve">יפים כאן דברי בית המשפט העליון (כב' השופט </w:t>
      </w:r>
      <w:r>
        <w:rPr>
          <w:rFonts w:ascii="Miriam" w:hAnsi="Miriam" w:cs="Miriam"/>
          <w:rtl/>
        </w:rPr>
        <w:t>י' אלרון</w:t>
      </w:r>
      <w:r>
        <w:rPr>
          <w:rFonts w:ascii="FrankRuehl" w:hAnsi="FrankRuehl" w:cs="FrankRuehl"/>
          <w:sz w:val="28"/>
          <w:szCs w:val="28"/>
          <w:rtl/>
        </w:rPr>
        <w:t xml:space="preserve">) ברע"פ 9004/18 </w:t>
      </w:r>
      <w:r>
        <w:rPr>
          <w:rFonts w:ascii="Miriam" w:hAnsi="Miriam" w:cs="Miriam"/>
          <w:rtl/>
        </w:rPr>
        <w:t>יצחקי נ' מדינת ישראל</w:t>
      </w:r>
      <w:r>
        <w:rPr>
          <w:rFonts w:ascii="FrankRuehl" w:hAnsi="FrankRuehl" w:cs="FrankRuehl"/>
          <w:sz w:val="28"/>
          <w:szCs w:val="28"/>
          <w:rtl/>
        </w:rPr>
        <w:t xml:space="preserve"> (31.12.2018), פסקה 11, כלהלן:</w:t>
      </w:r>
    </w:p>
    <w:p w:rsidR="00A620FF" w:rsidRDefault="00A620FF" w:rsidP="00A620FF">
      <w:pPr>
        <w:pStyle w:val="ab"/>
        <w:spacing w:after="0" w:line="360" w:lineRule="auto"/>
        <w:rPr>
          <w:rFonts w:ascii="FrankRuehl" w:hAnsi="FrankRuehl" w:cs="FrankRuehl"/>
          <w:sz w:val="28"/>
          <w:szCs w:val="28"/>
        </w:rPr>
      </w:pPr>
    </w:p>
    <w:p w:rsidR="00A620FF" w:rsidRDefault="00A620FF" w:rsidP="00A620FF">
      <w:pPr>
        <w:ind w:left="1440" w:right="567"/>
        <w:contextualSpacing/>
        <w:jc w:val="both"/>
        <w:rPr>
          <w:rFonts w:ascii="FrankRuehl" w:hAnsi="FrankRuehl" w:cs="FrankRuehl"/>
          <w:sz w:val="28"/>
          <w:szCs w:val="28"/>
          <w:rtl/>
        </w:rPr>
      </w:pPr>
      <w:r>
        <w:rPr>
          <w:rFonts w:ascii="FrankRuehl" w:hAnsi="FrankRuehl" w:cs="FrankRuehl"/>
          <w:sz w:val="28"/>
          <w:szCs w:val="28"/>
          <w:rtl/>
        </w:rPr>
        <w:t xml:space="preserve">"בית משפט זה חזר ועמד על חומרתה של עבריינות המס, אשר נובעת מפגיעתה הקשה במשק, בכלכלה ובמגוון היבטים חברתיים הנוגעים לנטל תשלום המיסים, כמו גם מהקושי הרב שבחשיפתה. נפסק לא אחת, כי יש ליתן לחומרה זו ביטוי ממשי במסגרת גזירת עונשו של מי שהורשע בעבירות אלה, תוך מתן עדיפות לשיקולי הרתעה ולאינטרס הציבורי שבהחמרת הענישה על פני נסיבותיו האישיות של הנאשם, וכאשר נקודת המוצא היא כי העונש ההולם בעבירות אלה הוא מאסר בפועל (וראו: רע"פ 5823/09 </w:t>
      </w:r>
      <w:r>
        <w:rPr>
          <w:rFonts w:ascii="Miriam" w:hAnsi="Miriam" w:cs="Miriam"/>
          <w:rtl/>
        </w:rPr>
        <w:t>באשיתי נ' מדינת ישראל</w:t>
      </w:r>
      <w:r>
        <w:rPr>
          <w:rFonts w:ascii="FrankRuehl" w:hAnsi="FrankRuehl" w:cs="FrankRuehl"/>
          <w:sz w:val="28"/>
          <w:szCs w:val="28"/>
          <w:rtl/>
        </w:rPr>
        <w:t xml:space="preserve"> (17.8.2009); רע"פ 5308/18 </w:t>
      </w:r>
      <w:r>
        <w:rPr>
          <w:rFonts w:ascii="Miriam" w:hAnsi="Miriam" w:cs="Miriam"/>
          <w:rtl/>
        </w:rPr>
        <w:t>ג'בארין נ' מדינת ישראל</w:t>
      </w:r>
      <w:r>
        <w:rPr>
          <w:rFonts w:ascii="FrankRuehl" w:hAnsi="FrankRuehl" w:cs="FrankRuehl"/>
          <w:sz w:val="28"/>
          <w:szCs w:val="28"/>
          <w:rtl/>
        </w:rPr>
        <w:t xml:space="preserve">, פסקה 11 להחלטתי (18.7.2018)). יודגש כי מדיניות ענישה זו נהגה כבר בעת ביצוע העבירות על-ידי המבקשים, ועל כן לא מצאתי ממש בטענותיהם בעניין זה (וראו, למשל: ע"פ 2919/02 </w:t>
      </w:r>
      <w:r>
        <w:rPr>
          <w:rFonts w:ascii="Miriam" w:hAnsi="Miriam" w:cs="Miriam"/>
          <w:rtl/>
        </w:rPr>
        <w:t>אלוני נ' מדינת ישראל</w:t>
      </w:r>
      <w:r>
        <w:rPr>
          <w:rFonts w:ascii="FrankRuehl" w:hAnsi="FrankRuehl" w:cs="FrankRuehl"/>
          <w:sz w:val="28"/>
          <w:szCs w:val="28"/>
          <w:rtl/>
        </w:rPr>
        <w:t xml:space="preserve"> (1.10.2002); ע"פ 6474/03‏ ‏ </w:t>
      </w:r>
      <w:r>
        <w:rPr>
          <w:rFonts w:ascii="Miriam" w:hAnsi="Miriam" w:cs="Miriam"/>
          <w:rtl/>
        </w:rPr>
        <w:t>מלכה נ' מדינת ישראל</w:t>
      </w:r>
      <w:r>
        <w:rPr>
          <w:rFonts w:ascii="FrankRuehl" w:hAnsi="FrankRuehl" w:cs="FrankRuehl"/>
          <w:sz w:val="28"/>
          <w:szCs w:val="28"/>
          <w:rtl/>
        </w:rPr>
        <w:t xml:space="preserve">, 7 (19.2.2004); רע"פ 3137/04 </w:t>
      </w:r>
      <w:r>
        <w:rPr>
          <w:rFonts w:ascii="Miriam" w:hAnsi="Miriam" w:cs="Miriam"/>
          <w:rtl/>
        </w:rPr>
        <w:t>חג'ג' נ' מדינת ישראל</w:t>
      </w:r>
      <w:r>
        <w:rPr>
          <w:rFonts w:ascii="FrankRuehl" w:hAnsi="FrankRuehl" w:cs="FrankRuehl"/>
          <w:sz w:val="28"/>
          <w:szCs w:val="28"/>
          <w:rtl/>
        </w:rPr>
        <w:t xml:space="preserve"> (18.4.2004))"</w:t>
      </w:r>
    </w:p>
    <w:p w:rsidR="00A620FF" w:rsidRDefault="00A620FF" w:rsidP="00A620FF">
      <w:pPr>
        <w:pStyle w:val="ab"/>
        <w:spacing w:after="0" w:line="360" w:lineRule="auto"/>
        <w:rPr>
          <w:rFonts w:ascii="Miriam" w:hAnsi="Miriam" w:cs="Miriam"/>
        </w:rPr>
      </w:pPr>
    </w:p>
    <w:p w:rsidR="00A620FF" w:rsidRDefault="00A620FF" w:rsidP="00A620FF">
      <w:pPr>
        <w:numPr>
          <w:ilvl w:val="0"/>
          <w:numId w:val="3"/>
        </w:numPr>
        <w:spacing w:line="360" w:lineRule="auto"/>
        <w:ind w:hanging="494"/>
        <w:contextualSpacing/>
        <w:jc w:val="both"/>
        <w:rPr>
          <w:rFonts w:ascii="FrankRuehl" w:hAnsi="FrankRuehl" w:cs="FrankRuehl"/>
          <w:sz w:val="28"/>
          <w:szCs w:val="28"/>
          <w:rtl/>
        </w:rPr>
      </w:pPr>
      <w:r>
        <w:rPr>
          <w:rFonts w:ascii="Miriam" w:hAnsi="Miriam" w:cs="Miriam"/>
          <w:rtl/>
        </w:rPr>
        <w:t>נסיבות ביצוע העבירות</w:t>
      </w:r>
      <w:r>
        <w:rPr>
          <w:rFonts w:ascii="FrankRuehl" w:hAnsi="FrankRuehl" w:cs="FrankRuehl"/>
          <w:sz w:val="28"/>
          <w:szCs w:val="28"/>
          <w:rtl/>
        </w:rPr>
        <w:t xml:space="preserve">: על-יסוד הודאת הנאשמים, ובעיקר הנאשם, הם הורשעו בביצוע עבירות רבות של מסירת דו"חות שכוללים ידיעה לא נכונה או לא מדויקת בלא הסבר סביר לכך, עבירה לפי סעיף 117(א)(3) </w:t>
      </w:r>
      <w:r>
        <w:rPr>
          <w:rFonts w:ascii="Miriam" w:hAnsi="Miriam" w:cs="Miriam"/>
          <w:rtl/>
        </w:rPr>
        <w:t>בחוק המע"מ</w:t>
      </w:r>
      <w:r>
        <w:rPr>
          <w:rFonts w:ascii="FrankRuehl" w:hAnsi="FrankRuehl" w:cs="FrankRuehl"/>
          <w:sz w:val="28"/>
          <w:szCs w:val="28"/>
          <w:rtl/>
        </w:rPr>
        <w:t xml:space="preserve">. כל הנאשמים הורשעו בנוסף בביצוע ניהול פנקסי חשבונות ורשומות אחרות שהיה עליהם לנהל, בסטייה מהותית מן ההוראות, עבירה </w:t>
      </w:r>
      <w:r>
        <w:rPr>
          <w:rFonts w:ascii="FrankRuehl" w:hAnsi="FrankRuehl" w:cs="FrankRuehl"/>
          <w:sz w:val="28"/>
          <w:szCs w:val="28"/>
          <w:rtl/>
        </w:rPr>
        <w:lastRenderedPageBreak/>
        <w:t xml:space="preserve">לפי סעיף 117(א)(7) </w:t>
      </w:r>
      <w:r>
        <w:rPr>
          <w:rFonts w:ascii="Miriam" w:hAnsi="Miriam" w:cs="Miriam"/>
          <w:rtl/>
        </w:rPr>
        <w:t>בחוק המע"מ</w:t>
      </w:r>
      <w:r>
        <w:rPr>
          <w:rFonts w:ascii="FrankRuehl" w:hAnsi="FrankRuehl" w:cs="FrankRuehl"/>
          <w:sz w:val="28"/>
          <w:szCs w:val="28"/>
          <w:rtl/>
        </w:rPr>
        <w:t>. ביחס לנאשמים 1 ו-2 מדובר בעבירות שבוצעו במשך השנים 2017-2013 כאשר המס שנחסך שלא כדין הוא בסכום של כ-300,000 ₪. עבירות דומות גם ביחס לנאשמים 1 ו-3, כאשר משך תקופת הביצוע היא 2017-2015 והמס שנחסך הוא בסך כ-100,000 ₪. נכון, היקפי הסכומים שנגרעו מהקופה הציבורית שלא כדין לצד משך התקופות, כשלעצמם, מבססים את חומרת המעשים.</w:t>
      </w:r>
    </w:p>
    <w:p w:rsidR="00A620FF" w:rsidRDefault="00A620FF" w:rsidP="00A620FF">
      <w:pPr>
        <w:pStyle w:val="ab"/>
        <w:spacing w:after="0" w:line="360" w:lineRule="auto"/>
        <w:rPr>
          <w:rFonts w:ascii="FrankRuehl" w:hAnsi="FrankRuehl" w:cs="FrankRuehl"/>
          <w:sz w:val="28"/>
          <w:szCs w:val="28"/>
        </w:rPr>
      </w:pPr>
    </w:p>
    <w:p w:rsidR="00A620FF" w:rsidRDefault="00A620FF" w:rsidP="00A620FF">
      <w:pPr>
        <w:numPr>
          <w:ilvl w:val="0"/>
          <w:numId w:val="3"/>
        </w:numPr>
        <w:spacing w:line="360" w:lineRule="auto"/>
        <w:ind w:hanging="494"/>
        <w:contextualSpacing/>
        <w:jc w:val="both"/>
        <w:rPr>
          <w:rFonts w:ascii="FrankRuehl" w:hAnsi="FrankRuehl" w:cs="FrankRuehl"/>
          <w:sz w:val="28"/>
          <w:szCs w:val="28"/>
          <w:rtl/>
        </w:rPr>
      </w:pPr>
      <w:r>
        <w:rPr>
          <w:rFonts w:ascii="FrankRuehl" w:hAnsi="FrankRuehl" w:cs="FrankRuehl"/>
          <w:sz w:val="28"/>
          <w:szCs w:val="28"/>
          <w:rtl/>
        </w:rPr>
        <w:t>לצד זאת, אין מחלוקת כי לא התקיים יסוד הכוונה בביצוע המעשים (ש' 11, ע' 13). כפי שהתרשמתי מטיעוני ההגנה ועל-יסוד המוצגים שהוצגו במקבצים נ/3-1, מעשי הנאשמים – שבוצעו על-ידי הנאשם – נעשו באופן פשטני, ונראה חובבני וחסר אחריות. כפי שניתן היה להבין, הנאשם אשר הקשר בינו לבין מנהל החשבונות שלו עלה על שׂרטון, החליט ליטול לידיו את המושכות בביצוע מלאכת הכנת הדיווחים לרשויות המס, ובכלל זה למע"מ. הנאשם עשה כן באופן ידני עבור שתי החברות, כאשר בדיווחיו כלל בקיזוז מס התשומות את כל הוצאותיהן (ממש כך!), גם אלו שאינן נתמכות בחשבוניות כדבעי. המעיין יעיין במוצגים האמורים שעניינם רישום הוצאות בכתב יד, שכוללות למשל הוצאות חודשיות תחת הכותרת "בנק", כך שניתן להבין שהוא ניכה כל הוצאה שהייתה לו לרבות שיש לה תיעוד בבנק, אך אין בצדה חשבונית כדבעי. כלשון בא-כוח הנאשם: "</w:t>
      </w:r>
      <w:r>
        <w:rPr>
          <w:rFonts w:ascii="Miriam" w:hAnsi="Miriam" w:cs="Miriam"/>
          <w:rtl/>
        </w:rPr>
        <w:t>היה ראיות אחרות אבל חשבוניות לא היו</w:t>
      </w:r>
      <w:r>
        <w:rPr>
          <w:rFonts w:ascii="FrankRuehl" w:hAnsi="FrankRuehl" w:cs="FrankRuehl"/>
          <w:sz w:val="28"/>
          <w:szCs w:val="28"/>
          <w:rtl/>
        </w:rPr>
        <w:t>" (ש' 3, ע' 15).</w:t>
      </w:r>
    </w:p>
    <w:p w:rsidR="00A620FF" w:rsidRDefault="00A620FF" w:rsidP="00A620FF">
      <w:pPr>
        <w:pStyle w:val="ab"/>
        <w:spacing w:after="0" w:line="360" w:lineRule="auto"/>
        <w:rPr>
          <w:rFonts w:ascii="FrankRuehl" w:hAnsi="FrankRuehl" w:cs="FrankRuehl"/>
          <w:sz w:val="28"/>
          <w:szCs w:val="28"/>
        </w:rPr>
      </w:pPr>
    </w:p>
    <w:p w:rsidR="00A620FF" w:rsidRDefault="00A620FF" w:rsidP="00A620FF">
      <w:pPr>
        <w:numPr>
          <w:ilvl w:val="0"/>
          <w:numId w:val="3"/>
        </w:numPr>
        <w:spacing w:line="360" w:lineRule="auto"/>
        <w:ind w:hanging="494"/>
        <w:contextualSpacing/>
        <w:jc w:val="both"/>
        <w:rPr>
          <w:rFonts w:ascii="FrankRuehl" w:hAnsi="FrankRuehl" w:cs="FrankRuehl"/>
          <w:sz w:val="28"/>
          <w:szCs w:val="28"/>
          <w:rtl/>
        </w:rPr>
      </w:pPr>
      <w:r>
        <w:rPr>
          <w:rFonts w:ascii="FrankRuehl" w:hAnsi="FrankRuehl" w:cs="FrankRuehl"/>
          <w:sz w:val="28"/>
          <w:szCs w:val="28"/>
          <w:rtl/>
        </w:rPr>
        <w:t xml:space="preserve">כאמור, להתרשמותי, מדובר במעשה חובבני, בלתי מקצועי, ובכל מקרה, מדובר בהתנהגות חסרת אחריות ורשלנית. לצד זאת, לא התרשמתי שהנאשם פעל כפי שפעל מתוך כוונת זדון להשתמט מתשלום מס, וממילא הוא לא הורשע בביצוע עבירות לפי סעיף 117(ב) </w:t>
      </w:r>
      <w:r>
        <w:rPr>
          <w:rFonts w:ascii="Miriam" w:hAnsi="Miriam" w:cs="Miriam"/>
          <w:rtl/>
        </w:rPr>
        <w:t>בחוק המע"מ</w:t>
      </w:r>
      <w:r>
        <w:rPr>
          <w:rFonts w:ascii="FrankRuehl" w:hAnsi="FrankRuehl" w:cs="FrankRuehl"/>
          <w:sz w:val="28"/>
          <w:szCs w:val="28"/>
          <w:rtl/>
        </w:rPr>
        <w:t xml:space="preserve"> שהיסוד הנפשי של העבירה הוא "</w:t>
      </w:r>
      <w:r>
        <w:rPr>
          <w:rFonts w:ascii="Miriam" w:hAnsi="Miriam" w:cs="Miriam"/>
          <w:rtl/>
        </w:rPr>
        <w:t>מטרה להתחמק או להשתמט מתשלום מס</w:t>
      </w:r>
      <w:r>
        <w:rPr>
          <w:rFonts w:ascii="FrankRuehl" w:hAnsi="FrankRuehl" w:cs="FrankRuehl"/>
          <w:sz w:val="28"/>
          <w:szCs w:val="28"/>
          <w:rtl/>
        </w:rPr>
        <w:t>" והעונש שלצדה הוא עד 5 שנות מאסר, זאת לעומת העונש של עד שנת מאסר לפי סעיף העבירה 117(א). לא נראה שהנאשם פעל בתכנון או בתחכום. עם היוודע טעותו, הנאשם הסיר את מחדלו. גם לעמדת המאשימה הוא הסיר את מחדלו "</w:t>
      </w:r>
      <w:r>
        <w:rPr>
          <w:rFonts w:ascii="Miriam" w:hAnsi="Miriam" w:cs="Miriam"/>
          <w:rtl/>
        </w:rPr>
        <w:t>באופן יחסית מהיר</w:t>
      </w:r>
      <w:r>
        <w:rPr>
          <w:rFonts w:ascii="FrankRuehl" w:hAnsi="FrankRuehl" w:cs="FrankRuehl"/>
          <w:sz w:val="28"/>
          <w:szCs w:val="28"/>
          <w:rtl/>
        </w:rPr>
        <w:t>" (ש' 21, ע' 12).</w:t>
      </w:r>
    </w:p>
    <w:p w:rsidR="00A620FF" w:rsidRDefault="00A620FF" w:rsidP="00A620FF">
      <w:pPr>
        <w:spacing w:line="360" w:lineRule="auto"/>
        <w:jc w:val="both"/>
        <w:rPr>
          <w:rFonts w:ascii="FrankRuehl" w:hAnsi="FrankRuehl" w:cs="FrankRuehl"/>
          <w:sz w:val="28"/>
          <w:szCs w:val="28"/>
        </w:rPr>
      </w:pPr>
    </w:p>
    <w:p w:rsidR="00A620FF" w:rsidRDefault="00A620FF" w:rsidP="00A620FF">
      <w:pPr>
        <w:numPr>
          <w:ilvl w:val="0"/>
          <w:numId w:val="3"/>
        </w:numPr>
        <w:spacing w:line="360" w:lineRule="auto"/>
        <w:ind w:hanging="494"/>
        <w:contextualSpacing/>
        <w:jc w:val="both"/>
        <w:rPr>
          <w:rFonts w:ascii="FrankRuehl" w:hAnsi="FrankRuehl" w:cs="FrankRuehl"/>
          <w:sz w:val="28"/>
          <w:szCs w:val="28"/>
        </w:rPr>
      </w:pPr>
      <w:r>
        <w:rPr>
          <w:rFonts w:ascii="FrankRuehl" w:hAnsi="FrankRuehl" w:cs="FrankRuehl"/>
          <w:sz w:val="28"/>
          <w:szCs w:val="28"/>
          <w:rtl/>
        </w:rPr>
        <w:t>לאור כל האמור, למרות החומרה שבעצם ביצוע המעשים, לא נראה כי אלה, בנסיבות שתוארו לעיל, מצויים במדרג חומרה גבוה.</w:t>
      </w:r>
    </w:p>
    <w:p w:rsidR="00A620FF" w:rsidRDefault="00A620FF" w:rsidP="00A620FF">
      <w:pPr>
        <w:pStyle w:val="ab"/>
        <w:spacing w:after="0" w:line="360" w:lineRule="auto"/>
        <w:rPr>
          <w:rFonts w:ascii="Miriam" w:hAnsi="Miriam" w:cs="Miriam"/>
        </w:rPr>
      </w:pPr>
    </w:p>
    <w:p w:rsidR="00A620FF" w:rsidRDefault="00A620FF" w:rsidP="00A620FF">
      <w:pPr>
        <w:numPr>
          <w:ilvl w:val="0"/>
          <w:numId w:val="3"/>
        </w:numPr>
        <w:spacing w:line="360" w:lineRule="auto"/>
        <w:ind w:hanging="494"/>
        <w:contextualSpacing/>
        <w:jc w:val="both"/>
        <w:rPr>
          <w:rFonts w:ascii="FrankRuehl" w:hAnsi="FrankRuehl" w:cs="FrankRuehl"/>
          <w:sz w:val="28"/>
          <w:szCs w:val="28"/>
          <w:rtl/>
        </w:rPr>
      </w:pPr>
      <w:r>
        <w:rPr>
          <w:rFonts w:ascii="Miriam" w:hAnsi="Miriam" w:cs="Miriam"/>
          <w:rtl/>
        </w:rPr>
        <w:t>מתחם הענישה הנוהגת</w:t>
      </w:r>
      <w:r>
        <w:rPr>
          <w:rFonts w:ascii="FrankRuehl" w:hAnsi="FrankRuehl" w:cs="FrankRuehl"/>
          <w:sz w:val="28"/>
          <w:szCs w:val="28"/>
          <w:rtl/>
        </w:rPr>
        <w:t>:</w:t>
      </w:r>
      <w:r>
        <w:rPr>
          <w:rFonts w:ascii="FrankRuehl" w:hAnsi="FrankRuehl" w:cs="FrankRuehl"/>
          <w:sz w:val="28"/>
          <w:szCs w:val="28"/>
        </w:rPr>
        <w:t xml:space="preserve"> </w:t>
      </w:r>
      <w:r>
        <w:rPr>
          <w:rFonts w:ascii="FrankRuehl" w:hAnsi="FrankRuehl" w:cs="FrankRuehl"/>
          <w:sz w:val="28"/>
          <w:szCs w:val="28"/>
          <w:rtl/>
        </w:rPr>
        <w:t xml:space="preserve">כבר כאן יצוין כי הן המאשימה הן ההגנה עתרו להתייחס לכל העבירות כאירוע אחד לצורך קביעת המתחם. לאחר בחינת פסיקה רלבנטית, לעתים עם עבירות נוספות או נסיבות מחמירות או מקלות, ולאחר מתן הדעת לפסיקה אליה הפנו הצדדים בטיעוניהם לעונש, מנעד הענישה הנוהגת הוא רחב </w:t>
      </w:r>
      <w:r>
        <w:rPr>
          <w:rFonts w:ascii="Miriam" w:hAnsi="Miriam" w:cs="Miriam"/>
          <w:rtl/>
        </w:rPr>
        <w:t>ונע בין תקופת מאסר קצרה שיכול ותרוצה בעבודות שירות ועד שנת מאסר, לצד ענישה כלכלית וצופת פני עתיד</w:t>
      </w:r>
      <w:r>
        <w:rPr>
          <w:rFonts w:ascii="FrankRuehl" w:hAnsi="FrankRuehl" w:cs="FrankRuehl"/>
          <w:sz w:val="28"/>
          <w:szCs w:val="28"/>
          <w:rtl/>
        </w:rPr>
        <w:t xml:space="preserve"> (ראו והשוו עם השינויים </w:t>
      </w:r>
      <w:r>
        <w:rPr>
          <w:rFonts w:ascii="FrankRuehl" w:hAnsi="FrankRuehl" w:cs="FrankRuehl"/>
          <w:sz w:val="28"/>
          <w:szCs w:val="28"/>
          <w:u w:val="single"/>
          <w:rtl/>
        </w:rPr>
        <w:t>המחוייבים</w:t>
      </w:r>
      <w:r>
        <w:rPr>
          <w:rFonts w:ascii="FrankRuehl" w:hAnsi="FrankRuehl" w:cs="FrankRuehl"/>
          <w:sz w:val="28"/>
          <w:szCs w:val="28"/>
          <w:rtl/>
        </w:rPr>
        <w:t xml:space="preserve">: </w:t>
      </w:r>
    </w:p>
    <w:p w:rsidR="00A620FF" w:rsidRDefault="00A620FF" w:rsidP="00A620FF">
      <w:pPr>
        <w:pStyle w:val="ab"/>
        <w:numPr>
          <w:ilvl w:val="0"/>
          <w:numId w:val="5"/>
        </w:numPr>
        <w:spacing w:after="0" w:line="240" w:lineRule="auto"/>
        <w:ind w:left="1077" w:hanging="357"/>
        <w:jc w:val="both"/>
        <w:rPr>
          <w:rFonts w:ascii="FrankRuehl" w:hAnsi="FrankRuehl" w:cs="FrankRuehl"/>
          <w:sz w:val="28"/>
          <w:szCs w:val="28"/>
        </w:rPr>
      </w:pPr>
      <w:r>
        <w:rPr>
          <w:rFonts w:ascii="FrankRuehl" w:hAnsi="FrankRuehl" w:cs="FrankRuehl"/>
          <w:sz w:val="28"/>
          <w:szCs w:val="28"/>
          <w:rtl/>
        </w:rPr>
        <w:t xml:space="preserve">רע"פ 8423/16 </w:t>
      </w:r>
      <w:r>
        <w:rPr>
          <w:rFonts w:ascii="Miriam" w:hAnsi="Miriam" w:cs="Miriam"/>
          <w:sz w:val="24"/>
          <w:szCs w:val="24"/>
          <w:rtl/>
        </w:rPr>
        <w:t>דגן נ' מדינת ישראל</w:t>
      </w:r>
      <w:r>
        <w:rPr>
          <w:rFonts w:ascii="FrankRuehl" w:hAnsi="FrankRuehl" w:cs="FrankRuehl"/>
          <w:sz w:val="28"/>
          <w:szCs w:val="28"/>
          <w:rtl/>
        </w:rPr>
        <w:t xml:space="preserve"> (9.11.2016); </w:t>
      </w:r>
    </w:p>
    <w:p w:rsidR="00A620FF" w:rsidRDefault="00A620FF" w:rsidP="00A620FF">
      <w:pPr>
        <w:pStyle w:val="ab"/>
        <w:numPr>
          <w:ilvl w:val="0"/>
          <w:numId w:val="5"/>
        </w:numPr>
        <w:spacing w:after="0" w:line="240" w:lineRule="auto"/>
        <w:ind w:left="1077" w:hanging="357"/>
        <w:jc w:val="both"/>
        <w:rPr>
          <w:rFonts w:ascii="FrankRuehl" w:hAnsi="FrankRuehl" w:cs="FrankRuehl"/>
          <w:sz w:val="28"/>
          <w:szCs w:val="28"/>
        </w:rPr>
      </w:pPr>
      <w:r>
        <w:rPr>
          <w:rFonts w:ascii="FrankRuehl" w:hAnsi="FrankRuehl" w:cs="FrankRuehl"/>
          <w:sz w:val="28"/>
          <w:szCs w:val="28"/>
          <w:rtl/>
        </w:rPr>
        <w:t xml:space="preserve">רע"פ 4173/15 </w:t>
      </w:r>
      <w:r>
        <w:rPr>
          <w:rFonts w:ascii="Miriam" w:hAnsi="Miriam" w:cs="Miriam"/>
          <w:sz w:val="24"/>
          <w:szCs w:val="24"/>
          <w:rtl/>
        </w:rPr>
        <w:t>הלאל נ' מדינת ישראל</w:t>
      </w:r>
      <w:r>
        <w:rPr>
          <w:rFonts w:ascii="FrankRuehl" w:hAnsi="FrankRuehl" w:cs="FrankRuehl"/>
          <w:sz w:val="28"/>
          <w:szCs w:val="28"/>
          <w:rtl/>
        </w:rPr>
        <w:t xml:space="preserve"> (29.6.2015);</w:t>
      </w:r>
    </w:p>
    <w:p w:rsidR="00A620FF" w:rsidRDefault="00A620FF" w:rsidP="00A620FF">
      <w:pPr>
        <w:pStyle w:val="ab"/>
        <w:numPr>
          <w:ilvl w:val="0"/>
          <w:numId w:val="5"/>
        </w:numPr>
        <w:spacing w:after="0" w:line="240" w:lineRule="auto"/>
        <w:ind w:left="1077" w:hanging="357"/>
        <w:jc w:val="both"/>
        <w:rPr>
          <w:rFonts w:ascii="FrankRuehl" w:hAnsi="FrankRuehl" w:cs="FrankRuehl"/>
          <w:sz w:val="28"/>
          <w:szCs w:val="28"/>
        </w:rPr>
      </w:pPr>
      <w:r>
        <w:rPr>
          <w:rFonts w:ascii="FrankRuehl" w:hAnsi="FrankRuehl" w:cs="FrankRuehl"/>
          <w:sz w:val="28"/>
          <w:szCs w:val="28"/>
          <w:rtl/>
        </w:rPr>
        <w:t xml:space="preserve">רע"פ 4394/14 </w:t>
      </w:r>
      <w:r>
        <w:rPr>
          <w:rFonts w:ascii="Miriam" w:hAnsi="Miriam" w:cs="Miriam"/>
          <w:sz w:val="24"/>
          <w:szCs w:val="24"/>
          <w:rtl/>
        </w:rPr>
        <w:t>פיקהולץ נ' מדינת ישראל</w:t>
      </w:r>
      <w:r>
        <w:rPr>
          <w:rFonts w:ascii="FrankRuehl" w:hAnsi="FrankRuehl" w:cs="FrankRuehl"/>
          <w:sz w:val="28"/>
          <w:szCs w:val="28"/>
          <w:rtl/>
        </w:rPr>
        <w:t xml:space="preserve"> (17.8.2014); </w:t>
      </w:r>
    </w:p>
    <w:p w:rsidR="00A620FF" w:rsidRDefault="00A620FF" w:rsidP="00A620FF">
      <w:pPr>
        <w:pStyle w:val="ab"/>
        <w:numPr>
          <w:ilvl w:val="0"/>
          <w:numId w:val="5"/>
        </w:numPr>
        <w:spacing w:after="0" w:line="240" w:lineRule="auto"/>
        <w:ind w:left="1077" w:hanging="357"/>
        <w:jc w:val="both"/>
        <w:rPr>
          <w:rFonts w:ascii="FrankRuehl" w:hAnsi="FrankRuehl" w:cs="FrankRuehl"/>
          <w:sz w:val="28"/>
          <w:szCs w:val="28"/>
        </w:rPr>
      </w:pPr>
      <w:r>
        <w:rPr>
          <w:rFonts w:ascii="FrankRuehl" w:hAnsi="FrankRuehl" w:cs="FrankRuehl"/>
          <w:sz w:val="28"/>
          <w:szCs w:val="28"/>
          <w:rtl/>
        </w:rPr>
        <w:t xml:space="preserve">עפ"ג (שלום י-ם) 11241-09-16 </w:t>
      </w:r>
      <w:r>
        <w:rPr>
          <w:rFonts w:ascii="Miriam" w:hAnsi="Miriam" w:cs="Miriam"/>
          <w:sz w:val="24"/>
          <w:szCs w:val="24"/>
          <w:rtl/>
        </w:rPr>
        <w:t>צימרמן נ' מדינת ישראל</w:t>
      </w:r>
      <w:r>
        <w:rPr>
          <w:rFonts w:ascii="FrankRuehl" w:hAnsi="FrankRuehl" w:cs="FrankRuehl"/>
          <w:sz w:val="28"/>
          <w:szCs w:val="28"/>
          <w:rtl/>
        </w:rPr>
        <w:t xml:space="preserve"> (31.10.2017);</w:t>
      </w:r>
    </w:p>
    <w:p w:rsidR="00A620FF" w:rsidRDefault="00A620FF" w:rsidP="00A620FF">
      <w:pPr>
        <w:pStyle w:val="ab"/>
        <w:numPr>
          <w:ilvl w:val="0"/>
          <w:numId w:val="5"/>
        </w:numPr>
        <w:spacing w:after="0" w:line="240" w:lineRule="auto"/>
        <w:ind w:left="1077" w:hanging="357"/>
        <w:jc w:val="both"/>
        <w:rPr>
          <w:rFonts w:ascii="FrankRuehl" w:hAnsi="FrankRuehl" w:cs="FrankRuehl"/>
          <w:sz w:val="28"/>
          <w:szCs w:val="28"/>
        </w:rPr>
      </w:pPr>
      <w:r>
        <w:rPr>
          <w:rFonts w:ascii="FrankRuehl" w:hAnsi="FrankRuehl" w:cs="FrankRuehl"/>
          <w:sz w:val="28"/>
          <w:szCs w:val="28"/>
          <w:rtl/>
        </w:rPr>
        <w:t xml:space="preserve">עפ"ג (מחוזי ת"א) 66050-11-15 </w:t>
      </w:r>
      <w:r>
        <w:rPr>
          <w:rFonts w:ascii="Miriam" w:hAnsi="Miriam" w:cs="Miriam"/>
          <w:sz w:val="24"/>
          <w:szCs w:val="24"/>
          <w:rtl/>
        </w:rPr>
        <w:t>ארונוביץ נ' מדינת ישראל</w:t>
      </w:r>
      <w:r>
        <w:rPr>
          <w:rFonts w:ascii="FrankRuehl" w:hAnsi="FrankRuehl" w:cs="FrankRuehl"/>
          <w:sz w:val="28"/>
          <w:szCs w:val="28"/>
          <w:rtl/>
        </w:rPr>
        <w:t xml:space="preserve"> (4.4.2016);</w:t>
      </w:r>
    </w:p>
    <w:p w:rsidR="00A620FF" w:rsidRDefault="00A620FF" w:rsidP="00A620FF">
      <w:pPr>
        <w:pStyle w:val="ab"/>
        <w:numPr>
          <w:ilvl w:val="0"/>
          <w:numId w:val="5"/>
        </w:numPr>
        <w:spacing w:after="0" w:line="240" w:lineRule="auto"/>
        <w:ind w:left="1077" w:hanging="357"/>
        <w:jc w:val="both"/>
        <w:rPr>
          <w:rFonts w:ascii="FrankRuehl" w:hAnsi="FrankRuehl" w:cs="FrankRuehl"/>
          <w:sz w:val="28"/>
          <w:szCs w:val="28"/>
        </w:rPr>
      </w:pPr>
      <w:r>
        <w:rPr>
          <w:rFonts w:ascii="FrankRuehl" w:hAnsi="FrankRuehl" w:cs="FrankRuehl"/>
          <w:sz w:val="28"/>
          <w:szCs w:val="28"/>
          <w:rtl/>
        </w:rPr>
        <w:t xml:space="preserve">ת"פ (שלום רמלה) 67868-07-20 </w:t>
      </w:r>
      <w:r>
        <w:rPr>
          <w:rFonts w:ascii="Miriam" w:hAnsi="Miriam" w:cs="Miriam"/>
          <w:sz w:val="24"/>
          <w:szCs w:val="24"/>
          <w:rtl/>
        </w:rPr>
        <w:t>מדינת ישראל נ' נ.צ.ש.ר בע"מ</w:t>
      </w:r>
      <w:r>
        <w:rPr>
          <w:rFonts w:ascii="FrankRuehl" w:hAnsi="FrankRuehl" w:cs="FrankRuehl"/>
          <w:sz w:val="28"/>
          <w:szCs w:val="28"/>
          <w:rtl/>
        </w:rPr>
        <w:t xml:space="preserve"> (10.11.2022);</w:t>
      </w:r>
    </w:p>
    <w:p w:rsidR="00A620FF" w:rsidRDefault="00A620FF" w:rsidP="00A620FF">
      <w:pPr>
        <w:pStyle w:val="ab"/>
        <w:numPr>
          <w:ilvl w:val="0"/>
          <w:numId w:val="5"/>
        </w:numPr>
        <w:spacing w:after="0" w:line="240" w:lineRule="auto"/>
        <w:ind w:left="1077" w:hanging="357"/>
        <w:jc w:val="both"/>
        <w:rPr>
          <w:rFonts w:ascii="FrankRuehl" w:hAnsi="FrankRuehl" w:cs="FrankRuehl"/>
          <w:sz w:val="28"/>
          <w:szCs w:val="28"/>
        </w:rPr>
      </w:pPr>
      <w:r>
        <w:rPr>
          <w:rFonts w:ascii="FrankRuehl" w:hAnsi="FrankRuehl" w:cs="FrankRuehl"/>
          <w:sz w:val="28"/>
          <w:szCs w:val="28"/>
          <w:rtl/>
        </w:rPr>
        <w:t xml:space="preserve">ת"פ (שלום חיפה) 68129-12-21 </w:t>
      </w:r>
      <w:r>
        <w:rPr>
          <w:rFonts w:ascii="Miriam" w:hAnsi="Miriam" w:cs="Miriam"/>
          <w:sz w:val="24"/>
          <w:szCs w:val="24"/>
          <w:rtl/>
        </w:rPr>
        <w:t>מדינת ישראל נ' פיבר</w:t>
      </w:r>
      <w:r>
        <w:rPr>
          <w:rFonts w:ascii="FrankRuehl" w:hAnsi="FrankRuehl" w:cs="FrankRuehl"/>
          <w:sz w:val="28"/>
          <w:szCs w:val="28"/>
          <w:rtl/>
        </w:rPr>
        <w:t xml:space="preserve"> (16.1.2023);</w:t>
      </w:r>
    </w:p>
    <w:p w:rsidR="00A620FF" w:rsidRDefault="00A620FF" w:rsidP="00A620FF">
      <w:pPr>
        <w:pStyle w:val="ab"/>
        <w:numPr>
          <w:ilvl w:val="0"/>
          <w:numId w:val="5"/>
        </w:numPr>
        <w:spacing w:after="0" w:line="240" w:lineRule="auto"/>
        <w:ind w:left="1077" w:hanging="357"/>
        <w:jc w:val="both"/>
        <w:rPr>
          <w:rFonts w:ascii="FrankRuehl" w:hAnsi="FrankRuehl" w:cs="FrankRuehl"/>
          <w:sz w:val="28"/>
          <w:szCs w:val="28"/>
        </w:rPr>
      </w:pPr>
      <w:r>
        <w:rPr>
          <w:rFonts w:ascii="FrankRuehl" w:hAnsi="FrankRuehl" w:cs="FrankRuehl"/>
          <w:sz w:val="28"/>
          <w:szCs w:val="28"/>
          <w:rtl/>
        </w:rPr>
        <w:t>ת"פ (שלום חיפה)</w:t>
      </w:r>
      <w:r>
        <w:rPr>
          <w:rFonts w:ascii="FrankRuehl" w:hAnsi="FrankRuehl" w:cs="FrankRuehl"/>
          <w:sz w:val="28"/>
          <w:szCs w:val="28"/>
        </w:rPr>
        <w:t xml:space="preserve"> </w:t>
      </w:r>
      <w:r>
        <w:rPr>
          <w:rFonts w:ascii="FrankRuehl" w:hAnsi="FrankRuehl" w:cs="FrankRuehl"/>
          <w:sz w:val="28"/>
          <w:szCs w:val="28"/>
          <w:rtl/>
        </w:rPr>
        <w:t xml:space="preserve">27562-12-20 </w:t>
      </w:r>
      <w:r>
        <w:rPr>
          <w:rFonts w:ascii="Miriam" w:hAnsi="Miriam" w:cs="Miriam"/>
          <w:sz w:val="24"/>
          <w:szCs w:val="24"/>
          <w:rtl/>
        </w:rPr>
        <w:t>מדינת ישראל נ' רק</w:t>
      </w:r>
      <w:r>
        <w:rPr>
          <w:rFonts w:ascii="FrankRuehl" w:hAnsi="FrankRuehl" w:cs="FrankRuehl"/>
          <w:sz w:val="28"/>
          <w:szCs w:val="28"/>
          <w:rtl/>
        </w:rPr>
        <w:t xml:space="preserve"> (29.4.2021);</w:t>
      </w:r>
    </w:p>
    <w:p w:rsidR="00A620FF" w:rsidRDefault="00A620FF" w:rsidP="00A620FF">
      <w:pPr>
        <w:pStyle w:val="ab"/>
        <w:numPr>
          <w:ilvl w:val="0"/>
          <w:numId w:val="5"/>
        </w:numPr>
        <w:spacing w:after="0" w:line="240" w:lineRule="auto"/>
        <w:ind w:left="1077" w:hanging="357"/>
        <w:jc w:val="both"/>
        <w:rPr>
          <w:rFonts w:ascii="FrankRuehl" w:hAnsi="FrankRuehl" w:cs="FrankRuehl"/>
          <w:sz w:val="28"/>
          <w:szCs w:val="28"/>
        </w:rPr>
      </w:pPr>
      <w:r>
        <w:rPr>
          <w:rFonts w:ascii="FrankRuehl" w:hAnsi="FrankRuehl" w:cs="FrankRuehl"/>
          <w:sz w:val="28"/>
          <w:szCs w:val="28"/>
          <w:rtl/>
        </w:rPr>
        <w:t xml:space="preserve">ת"פ (שלום ת"א) 5451-07-15‏ ‏ </w:t>
      </w:r>
      <w:r>
        <w:rPr>
          <w:rFonts w:ascii="Miriam" w:hAnsi="Miriam" w:cs="Miriam"/>
          <w:sz w:val="24"/>
          <w:szCs w:val="24"/>
          <w:rtl/>
        </w:rPr>
        <w:t>מע"מ ת"א נ' טופ פרוייקטים בע"מ</w:t>
      </w:r>
      <w:r>
        <w:rPr>
          <w:rFonts w:ascii="FrankRuehl" w:hAnsi="FrankRuehl" w:cs="FrankRuehl"/>
          <w:sz w:val="28"/>
          <w:szCs w:val="28"/>
          <w:rtl/>
        </w:rPr>
        <w:t xml:space="preserve"> (17.5.2018);</w:t>
      </w:r>
    </w:p>
    <w:p w:rsidR="00A620FF" w:rsidRDefault="00A620FF" w:rsidP="00A620FF">
      <w:pPr>
        <w:pStyle w:val="ab"/>
        <w:numPr>
          <w:ilvl w:val="0"/>
          <w:numId w:val="5"/>
        </w:numPr>
        <w:spacing w:after="0" w:line="240" w:lineRule="auto"/>
        <w:ind w:left="1077" w:hanging="357"/>
        <w:jc w:val="both"/>
        <w:rPr>
          <w:rFonts w:ascii="FrankRuehl" w:hAnsi="FrankRuehl" w:cs="FrankRuehl"/>
          <w:sz w:val="28"/>
          <w:szCs w:val="28"/>
        </w:rPr>
      </w:pPr>
      <w:r>
        <w:rPr>
          <w:rFonts w:ascii="FrankRuehl" w:hAnsi="FrankRuehl" w:cs="FrankRuehl"/>
          <w:sz w:val="28"/>
          <w:szCs w:val="28"/>
          <w:rtl/>
        </w:rPr>
        <w:t>ת"פ (שלום ת"א)</w:t>
      </w:r>
      <w:r>
        <w:rPr>
          <w:rFonts w:ascii="FrankRuehl" w:hAnsi="FrankRuehl" w:cs="FrankRuehl"/>
          <w:sz w:val="28"/>
          <w:szCs w:val="28"/>
        </w:rPr>
        <w:t xml:space="preserve"> </w:t>
      </w:r>
      <w:r>
        <w:rPr>
          <w:rFonts w:ascii="FrankRuehl" w:hAnsi="FrankRuehl" w:cs="FrankRuehl"/>
          <w:sz w:val="28"/>
          <w:szCs w:val="28"/>
          <w:rtl/>
        </w:rPr>
        <w:t xml:space="preserve">37732-02-15 </w:t>
      </w:r>
      <w:r>
        <w:rPr>
          <w:rFonts w:ascii="Miriam" w:hAnsi="Miriam" w:cs="Miriam"/>
          <w:sz w:val="24"/>
          <w:szCs w:val="24"/>
          <w:rtl/>
        </w:rPr>
        <w:t>מע"מ ת"א נ' מישעלי</w:t>
      </w:r>
      <w:r>
        <w:rPr>
          <w:rFonts w:ascii="FrankRuehl" w:hAnsi="FrankRuehl" w:cs="FrankRuehl"/>
          <w:sz w:val="28"/>
          <w:szCs w:val="28"/>
          <w:rtl/>
        </w:rPr>
        <w:t xml:space="preserve"> (25.9.2017).</w:t>
      </w:r>
    </w:p>
    <w:p w:rsidR="00A620FF" w:rsidRDefault="00A620FF" w:rsidP="00A620FF">
      <w:pPr>
        <w:spacing w:line="360" w:lineRule="auto"/>
        <w:jc w:val="both"/>
        <w:rPr>
          <w:rFonts w:ascii="FrankRuehl" w:hAnsi="FrankRuehl" w:cs="FrankRuehl"/>
          <w:sz w:val="20"/>
          <w:szCs w:val="20"/>
        </w:rPr>
      </w:pPr>
    </w:p>
    <w:p w:rsidR="00A620FF" w:rsidRDefault="00A620FF" w:rsidP="00A620FF">
      <w:pPr>
        <w:pStyle w:val="ab"/>
        <w:numPr>
          <w:ilvl w:val="0"/>
          <w:numId w:val="3"/>
        </w:numPr>
        <w:spacing w:after="0" w:line="360" w:lineRule="auto"/>
        <w:ind w:hanging="494"/>
        <w:jc w:val="both"/>
        <w:rPr>
          <w:rFonts w:ascii="FrankRuehl" w:hAnsi="FrankRuehl" w:cs="FrankRuehl"/>
          <w:sz w:val="28"/>
          <w:szCs w:val="28"/>
          <w:rtl/>
        </w:rPr>
      </w:pPr>
      <w:r>
        <w:rPr>
          <w:rFonts w:ascii="Miriam" w:hAnsi="Miriam" w:cs="Miriam"/>
          <w:sz w:val="24"/>
          <w:szCs w:val="24"/>
          <w:rtl/>
        </w:rPr>
        <w:t>נסיבות שאינן קשורות לביצוע העבירות</w:t>
      </w:r>
      <w:r>
        <w:rPr>
          <w:rFonts w:ascii="FrankRuehl" w:hAnsi="FrankRuehl" w:cs="FrankRuehl"/>
          <w:sz w:val="28"/>
          <w:szCs w:val="28"/>
          <w:rtl/>
        </w:rPr>
        <w:t xml:space="preserve">: הנאשם יליד שנת 1954 ומתקרב לגיל ה-70', כאשר זו ההסתבכות הראשונה שלו עם הדין הפלילי. כפי שעלה מהתסקיר, הוא גדל במשפחה קשת יום ובנה את עצמו ואת עסקו בידיו. הוא המפרנס לביתו. למעשה, הנאשם הכיר בטעות שלו בהזדמנות הראשונה עת הסיר את מחדלו ושילם את המס החסר, עוד לפני הגשת כתב האישום. הנאשם דיבר לפניי ברגש. הוא הביע חרטה על מעשיו. בהקשר זה התרשמתי מכּנות החרטה שלו. בהודאתו, חסך הנאשם זמן של הצדדים, של העדים ושל בית המשפט. הנאשם הודה במיוחס לו כשלושה חודשים לפני דיון ההוכחות. </w:t>
      </w:r>
    </w:p>
    <w:p w:rsidR="00A620FF" w:rsidRDefault="00A620FF" w:rsidP="00A620FF">
      <w:pPr>
        <w:pStyle w:val="ab"/>
        <w:spacing w:after="0" w:line="360" w:lineRule="auto"/>
        <w:jc w:val="both"/>
        <w:rPr>
          <w:rFonts w:ascii="FrankRuehl" w:hAnsi="FrankRuehl" w:cs="FrankRuehl"/>
          <w:sz w:val="28"/>
          <w:szCs w:val="28"/>
        </w:rPr>
      </w:pPr>
    </w:p>
    <w:p w:rsidR="00A620FF" w:rsidRDefault="00A620FF" w:rsidP="00A620FF">
      <w:pPr>
        <w:pStyle w:val="ab"/>
        <w:numPr>
          <w:ilvl w:val="0"/>
          <w:numId w:val="3"/>
        </w:numPr>
        <w:spacing w:after="0" w:line="360" w:lineRule="auto"/>
        <w:ind w:hanging="494"/>
        <w:jc w:val="both"/>
        <w:rPr>
          <w:rFonts w:ascii="FrankRuehl" w:hAnsi="FrankRuehl" w:cs="FrankRuehl"/>
          <w:sz w:val="28"/>
          <w:szCs w:val="28"/>
        </w:rPr>
      </w:pPr>
      <w:r>
        <w:rPr>
          <w:rFonts w:ascii="FrankRuehl" w:hAnsi="FrankRuehl" w:cs="FrankRuehl"/>
          <w:sz w:val="28"/>
          <w:szCs w:val="28"/>
          <w:rtl/>
        </w:rPr>
        <w:t>עוד בנדון. באחת מהבקשות שהגיש בתיק (בקשה מיום 2.2.2022), הציג הנאשם מסמכים רפואיים בדבר אירוע לבבי וצנתור שעבר. הוא עבר עוד צנתור. לפי התסקיר, הנאשם מצוי במעקב טיפולי נפש ומסמכים הוצגו לשירות המבחן. בנסיבות אלו, יש ליתן את הדעת למצבו הרפואי המורכב של הנאשם. כל אלו, נזקפים לקולת העונש ויש בהם כדי למקמו בתחתית המתחם.</w:t>
      </w:r>
    </w:p>
    <w:p w:rsidR="00A620FF" w:rsidRDefault="00A620FF" w:rsidP="00A620FF">
      <w:pPr>
        <w:spacing w:line="360" w:lineRule="auto"/>
        <w:rPr>
          <w:rFonts w:ascii="Miriam" w:hAnsi="Miriam" w:cs="Miriam"/>
          <w:u w:val="single"/>
        </w:rPr>
      </w:pPr>
    </w:p>
    <w:p w:rsidR="00A620FF" w:rsidRDefault="00A620FF" w:rsidP="00A620FF">
      <w:pPr>
        <w:spacing w:line="360" w:lineRule="auto"/>
        <w:rPr>
          <w:rFonts w:ascii="Miriam" w:hAnsi="Miriam" w:cs="Miriam"/>
          <w:u w:val="single"/>
          <w:rtl/>
        </w:rPr>
      </w:pPr>
      <w:r>
        <w:rPr>
          <w:rFonts w:ascii="Miriam" w:hAnsi="Miriam" w:cs="Miriam"/>
          <w:u w:val="single"/>
          <w:rtl/>
        </w:rPr>
        <w:t>שאלת ביטול ההרשעה של הנאשם</w:t>
      </w:r>
    </w:p>
    <w:p w:rsidR="00A620FF" w:rsidRDefault="00A620FF" w:rsidP="00A620FF">
      <w:pPr>
        <w:spacing w:line="360" w:lineRule="auto"/>
        <w:jc w:val="both"/>
        <w:rPr>
          <w:rFonts w:ascii="FrankRuehl" w:hAnsi="FrankRuehl" w:cs="FrankRuehl"/>
          <w:sz w:val="28"/>
          <w:szCs w:val="28"/>
          <w:rtl/>
        </w:rPr>
      </w:pPr>
    </w:p>
    <w:p w:rsidR="00A620FF" w:rsidRDefault="00A620FF" w:rsidP="00A620FF">
      <w:pPr>
        <w:pStyle w:val="ab"/>
        <w:numPr>
          <w:ilvl w:val="0"/>
          <w:numId w:val="3"/>
        </w:numPr>
        <w:spacing w:after="0" w:line="360" w:lineRule="auto"/>
        <w:ind w:hanging="494"/>
        <w:jc w:val="both"/>
        <w:rPr>
          <w:rFonts w:ascii="FrankRuehl" w:hAnsi="FrankRuehl" w:cs="FrankRuehl"/>
          <w:sz w:val="28"/>
          <w:szCs w:val="28"/>
          <w:rtl/>
        </w:rPr>
      </w:pPr>
      <w:r>
        <w:rPr>
          <w:rFonts w:ascii="FrankRuehl" w:hAnsi="FrankRuehl" w:cs="FrankRuehl"/>
          <w:sz w:val="28"/>
          <w:szCs w:val="28"/>
          <w:rtl/>
        </w:rPr>
        <w:t>לאחר שנתתי את דעתי לטיעוני הצדדים בנושא זה, הגעתי לכלל דעה כי דין העתירה בנדון להתקבל. אנמק.</w:t>
      </w:r>
    </w:p>
    <w:p w:rsidR="00A620FF" w:rsidRDefault="00A620FF" w:rsidP="00A620FF">
      <w:pPr>
        <w:pStyle w:val="ab"/>
        <w:spacing w:after="0" w:line="360" w:lineRule="auto"/>
        <w:jc w:val="both"/>
        <w:rPr>
          <w:rFonts w:ascii="FrankRuehl" w:hAnsi="FrankRuehl" w:cs="FrankRuehl"/>
          <w:sz w:val="28"/>
          <w:szCs w:val="28"/>
        </w:rPr>
      </w:pPr>
    </w:p>
    <w:p w:rsidR="00A620FF" w:rsidRDefault="00A620FF" w:rsidP="00A620FF">
      <w:pPr>
        <w:pStyle w:val="ab"/>
        <w:numPr>
          <w:ilvl w:val="0"/>
          <w:numId w:val="3"/>
        </w:numPr>
        <w:spacing w:after="0" w:line="360" w:lineRule="auto"/>
        <w:ind w:hanging="494"/>
        <w:jc w:val="both"/>
        <w:rPr>
          <w:rFonts w:ascii="FrankRuehl" w:hAnsi="FrankRuehl" w:cs="FrankRuehl"/>
          <w:sz w:val="28"/>
          <w:szCs w:val="28"/>
        </w:rPr>
      </w:pPr>
      <w:r>
        <w:rPr>
          <w:rFonts w:ascii="FrankRuehl" w:hAnsi="FrankRuehl" w:cs="FrankRuehl"/>
          <w:sz w:val="28"/>
          <w:szCs w:val="28"/>
          <w:rtl/>
        </w:rPr>
        <w:t xml:space="preserve">לפי ההלכה הפסוקה אי-הרשעה אפשרית בהתקיים שני תנאים מצטברים: </w:t>
      </w:r>
      <w:r>
        <w:rPr>
          <w:rFonts w:ascii="Miriam" w:hAnsi="Miriam" w:cs="Miriam"/>
          <w:sz w:val="24"/>
          <w:szCs w:val="24"/>
          <w:rtl/>
        </w:rPr>
        <w:t>הראשון</w:t>
      </w:r>
      <w:r>
        <w:rPr>
          <w:rFonts w:ascii="FrankRuehl" w:hAnsi="FrankRuehl" w:cs="FrankRuehl"/>
          <w:sz w:val="28"/>
          <w:szCs w:val="28"/>
          <w:rtl/>
        </w:rPr>
        <w:t xml:space="preserve"> – מקום בו ההרשעה תפגע פגיעה חמורה בשיקום הנאשם אשר נדרש להצביע על נזק קונקרטי שייגרם לו אם תיוותר הרשעתו על כנה. </w:t>
      </w:r>
      <w:r>
        <w:rPr>
          <w:rFonts w:ascii="Miriam" w:hAnsi="Miriam" w:cs="Miriam"/>
          <w:sz w:val="24"/>
          <w:szCs w:val="24"/>
          <w:rtl/>
        </w:rPr>
        <w:t>שנית</w:t>
      </w:r>
      <w:r>
        <w:rPr>
          <w:rFonts w:ascii="FrankRuehl" w:hAnsi="FrankRuehl" w:cs="FrankRuehl"/>
          <w:sz w:val="28"/>
          <w:szCs w:val="28"/>
          <w:rtl/>
        </w:rPr>
        <w:t xml:space="preserve"> – סוג העבירה מאפשר לוותר בנסיבות המקרה על ההרשעה מבלי לפגוע באופן מהותי בשיקולי הענישה (רע"פ 547/21 </w:t>
      </w:r>
      <w:r>
        <w:rPr>
          <w:rFonts w:ascii="Miriam" w:hAnsi="Miriam" w:cs="Miriam"/>
          <w:sz w:val="24"/>
          <w:szCs w:val="24"/>
          <w:rtl/>
        </w:rPr>
        <w:t>סיטניק נ' מדינת ישראל</w:t>
      </w:r>
      <w:r>
        <w:rPr>
          <w:rFonts w:ascii="FrankRuehl" w:hAnsi="FrankRuehl" w:cs="FrankRuehl"/>
          <w:sz w:val="28"/>
          <w:szCs w:val="28"/>
          <w:rtl/>
        </w:rPr>
        <w:t xml:space="preserve">, פסקה 8 (17.3.2021); רע"פ 6485/20 </w:t>
      </w:r>
      <w:r>
        <w:rPr>
          <w:rFonts w:ascii="Miriam" w:hAnsi="Miriam" w:cs="Miriam"/>
          <w:sz w:val="24"/>
          <w:szCs w:val="24"/>
          <w:rtl/>
        </w:rPr>
        <w:t>ביטון נ' מדינת ישראל</w:t>
      </w:r>
      <w:r>
        <w:rPr>
          <w:rFonts w:ascii="FrankRuehl" w:hAnsi="FrankRuehl" w:cs="FrankRuehl"/>
          <w:sz w:val="28"/>
          <w:szCs w:val="28"/>
          <w:rtl/>
        </w:rPr>
        <w:t xml:space="preserve">, פסקה 10 (11.1.2021)). הלכה זו שידועה כהלכת כּתב, מקורה פסק הדין בע"פ 2083/96 </w:t>
      </w:r>
      <w:r>
        <w:rPr>
          <w:rFonts w:ascii="Miriam" w:hAnsi="Miriam" w:cs="Miriam"/>
          <w:sz w:val="24"/>
          <w:szCs w:val="24"/>
          <w:rtl/>
        </w:rPr>
        <w:t>כתב נ' מדינת ישראל</w:t>
      </w:r>
      <w:r>
        <w:rPr>
          <w:rFonts w:ascii="FrankRuehl" w:hAnsi="FrankRuehl" w:cs="FrankRuehl"/>
          <w:sz w:val="28"/>
          <w:szCs w:val="28"/>
          <w:rtl/>
        </w:rPr>
        <w:t xml:space="preserve">, פ"ד נב(3) 337 (1997)]. כיום, מקור הסמכות קבוע בסעיף 192א </w:t>
      </w:r>
      <w:r>
        <w:rPr>
          <w:rFonts w:ascii="Miriam" w:hAnsi="Miriam" w:cs="Miriam"/>
          <w:sz w:val="24"/>
          <w:szCs w:val="24"/>
          <w:rtl/>
        </w:rPr>
        <w:t>בחוק סדר הדין הפלילי [נוסח משולב], תשמ"ב-1982</w:t>
      </w:r>
      <w:r>
        <w:rPr>
          <w:rFonts w:ascii="FrankRuehl" w:hAnsi="FrankRuehl" w:cs="FrankRuehl"/>
          <w:sz w:val="28"/>
          <w:szCs w:val="28"/>
          <w:rtl/>
        </w:rPr>
        <w:t xml:space="preserve"> וגם בסעיף 71א(ב) </w:t>
      </w:r>
      <w:r>
        <w:rPr>
          <w:rFonts w:ascii="Miriam" w:hAnsi="Miriam" w:cs="Miriam"/>
          <w:sz w:val="24"/>
          <w:szCs w:val="24"/>
          <w:rtl/>
        </w:rPr>
        <w:t>בחוק העונשין</w:t>
      </w:r>
      <w:r>
        <w:rPr>
          <w:rFonts w:ascii="FrankRuehl" w:hAnsi="FrankRuehl" w:cs="FrankRuehl"/>
          <w:sz w:val="28"/>
          <w:szCs w:val="28"/>
          <w:rtl/>
        </w:rPr>
        <w:t xml:space="preserve">. דרך המלך היא כי יש להרשיע את מי שנקבע כי ביצע את העבירה שבגינה הועמד לדין. ביטול הרשעה אינו הכלל אלא החריג לו, למצער ביחס לבגירים (ע"פ 8169/20 </w:t>
      </w:r>
      <w:r>
        <w:rPr>
          <w:rFonts w:ascii="Miriam" w:hAnsi="Miriam" w:cs="Miriam"/>
          <w:sz w:val="24"/>
          <w:szCs w:val="24"/>
          <w:rtl/>
        </w:rPr>
        <w:t>שלום נ' מדינת ישראל</w:t>
      </w:r>
      <w:r>
        <w:rPr>
          <w:rFonts w:ascii="FrankRuehl" w:hAnsi="FrankRuehl" w:cs="FrankRuehl"/>
          <w:sz w:val="28"/>
          <w:szCs w:val="28"/>
          <w:rtl/>
        </w:rPr>
        <w:t xml:space="preserve">, פסקה 2 (26.8.2021); ראו גם: רע"פ 5018/18 </w:t>
      </w:r>
      <w:r>
        <w:rPr>
          <w:rFonts w:ascii="Miriam" w:hAnsi="Miriam" w:cs="Miriam"/>
          <w:sz w:val="24"/>
          <w:szCs w:val="24"/>
          <w:rtl/>
        </w:rPr>
        <w:t>בוזגלו נ' מדינת ישראל</w:t>
      </w:r>
      <w:r>
        <w:rPr>
          <w:rFonts w:ascii="FrankRuehl" w:hAnsi="FrankRuehl" w:cs="FrankRuehl"/>
          <w:sz w:val="28"/>
          <w:szCs w:val="28"/>
          <w:rtl/>
        </w:rPr>
        <w:t xml:space="preserve"> (21.10.2018)).</w:t>
      </w:r>
    </w:p>
    <w:p w:rsidR="00A620FF" w:rsidRDefault="00A620FF" w:rsidP="00A620FF">
      <w:pPr>
        <w:pStyle w:val="ab"/>
        <w:spacing w:after="0" w:line="360" w:lineRule="auto"/>
        <w:rPr>
          <w:rFonts w:ascii="FrankRuehl" w:hAnsi="FrankRuehl" w:cs="FrankRuehl"/>
          <w:sz w:val="28"/>
          <w:szCs w:val="28"/>
        </w:rPr>
      </w:pPr>
    </w:p>
    <w:p w:rsidR="00A620FF" w:rsidRDefault="00A620FF" w:rsidP="00A620FF">
      <w:pPr>
        <w:pStyle w:val="ab"/>
        <w:numPr>
          <w:ilvl w:val="0"/>
          <w:numId w:val="3"/>
        </w:numPr>
        <w:spacing w:after="0" w:line="360" w:lineRule="auto"/>
        <w:ind w:hanging="494"/>
        <w:jc w:val="both"/>
        <w:rPr>
          <w:rFonts w:ascii="FrankRuehl" w:hAnsi="FrankRuehl" w:cs="FrankRuehl"/>
          <w:sz w:val="28"/>
          <w:szCs w:val="28"/>
          <w:rtl/>
        </w:rPr>
      </w:pPr>
      <w:r>
        <w:rPr>
          <w:rFonts w:ascii="FrankRuehl" w:hAnsi="FrankRuehl" w:cs="FrankRuehl"/>
          <w:sz w:val="28"/>
          <w:szCs w:val="28"/>
          <w:rtl/>
        </w:rPr>
        <w:t xml:space="preserve">ככלי עזר ליישום שני התנאים לעיל בהלכת כּתב, הוצג בפסיקה יחס של </w:t>
      </w:r>
      <w:r>
        <w:rPr>
          <w:rFonts w:ascii="Miriam" w:hAnsi="Miriam" w:cs="Miriam"/>
          <w:sz w:val="24"/>
          <w:szCs w:val="24"/>
          <w:rtl/>
        </w:rPr>
        <w:t>מקבילית הכוחות</w:t>
      </w:r>
      <w:r>
        <w:rPr>
          <w:rFonts w:ascii="FrankRuehl" w:hAnsi="FrankRuehl" w:cs="FrankRuehl"/>
          <w:sz w:val="28"/>
          <w:szCs w:val="28"/>
          <w:rtl/>
        </w:rPr>
        <w:t>, במובן זה ש-"</w:t>
      </w:r>
      <w:r>
        <w:rPr>
          <w:rFonts w:ascii="Miriam" w:hAnsi="Miriam" w:cs="Miriam"/>
          <w:sz w:val="24"/>
          <w:szCs w:val="24"/>
          <w:rtl/>
        </w:rPr>
        <w:t>ככל שמעשי העבירה חמורים יותר, כך אין להסתפק בפגיעה כללית ועתידית, אלא נדרשת פגיעה קונקרטית, ברורה ומוחשית יותר. ולהיפך – ככל שמעשי העבירה קלים יותר, כך ניתן להסתפק בפגיעה כללית יותר...</w:t>
      </w:r>
      <w:r>
        <w:rPr>
          <w:rFonts w:ascii="FrankRuehl" w:hAnsi="FrankRuehl" w:cs="FrankRuehl"/>
          <w:sz w:val="28"/>
          <w:szCs w:val="28"/>
          <w:rtl/>
        </w:rPr>
        <w:t xml:space="preserve">" (ע"פ (מחוזי מרכז) 24457-03-15 </w:t>
      </w:r>
      <w:r>
        <w:rPr>
          <w:rFonts w:ascii="Miriam" w:hAnsi="Miriam" w:cs="Miriam"/>
          <w:sz w:val="24"/>
          <w:szCs w:val="24"/>
          <w:rtl/>
        </w:rPr>
        <w:t>גוטרמן נ' מדינת ישראל</w:t>
      </w:r>
      <w:r>
        <w:rPr>
          <w:rFonts w:ascii="FrankRuehl" w:hAnsi="FrankRuehl" w:cs="FrankRuehl"/>
          <w:sz w:val="28"/>
          <w:szCs w:val="28"/>
          <w:rtl/>
        </w:rPr>
        <w:t xml:space="preserve">, פסקה 69 (30.8.2015)). </w:t>
      </w:r>
    </w:p>
    <w:p w:rsidR="00A620FF" w:rsidRDefault="00A620FF" w:rsidP="00A620FF">
      <w:pPr>
        <w:pStyle w:val="ab"/>
        <w:spacing w:after="0" w:line="360" w:lineRule="auto"/>
        <w:rPr>
          <w:rFonts w:ascii="FrankRuehl" w:hAnsi="FrankRuehl" w:cs="FrankRuehl"/>
          <w:sz w:val="28"/>
          <w:szCs w:val="28"/>
        </w:rPr>
      </w:pPr>
    </w:p>
    <w:p w:rsidR="00A620FF" w:rsidRDefault="00A620FF" w:rsidP="00A620FF">
      <w:pPr>
        <w:pStyle w:val="ab"/>
        <w:numPr>
          <w:ilvl w:val="0"/>
          <w:numId w:val="3"/>
        </w:numPr>
        <w:spacing w:after="0" w:line="360" w:lineRule="auto"/>
        <w:ind w:hanging="494"/>
        <w:jc w:val="both"/>
        <w:rPr>
          <w:rFonts w:ascii="FrankRuehl" w:hAnsi="FrankRuehl" w:cs="FrankRuehl"/>
          <w:sz w:val="28"/>
          <w:szCs w:val="28"/>
          <w:rtl/>
        </w:rPr>
      </w:pPr>
      <w:r>
        <w:rPr>
          <w:rFonts w:ascii="FrankRuehl" w:hAnsi="FrankRuehl" w:cs="FrankRuehl"/>
          <w:sz w:val="28"/>
          <w:szCs w:val="28"/>
          <w:rtl/>
        </w:rPr>
        <w:t xml:space="preserve">תוך שהוא מפנה לעפ"ג (מחוזי ב"ש) 66903-07-20 </w:t>
      </w:r>
      <w:r>
        <w:rPr>
          <w:rFonts w:ascii="Miriam" w:hAnsi="Miriam" w:cs="Miriam"/>
          <w:sz w:val="24"/>
          <w:szCs w:val="24"/>
          <w:rtl/>
        </w:rPr>
        <w:t>אבו מדיעם נ' מדינת ישראל</w:t>
      </w:r>
      <w:r>
        <w:rPr>
          <w:rFonts w:ascii="FrankRuehl" w:hAnsi="FrankRuehl" w:cs="FrankRuehl"/>
          <w:sz w:val="28"/>
          <w:szCs w:val="28"/>
          <w:rtl/>
        </w:rPr>
        <w:t xml:space="preserve"> (30.12.2020), פסק בית המשפט המחוזי בעפ"ג (מחוזי ב"ש) 27326-12-21 </w:t>
      </w:r>
      <w:r>
        <w:rPr>
          <w:rFonts w:ascii="Miriam" w:hAnsi="Miriam" w:cs="Miriam"/>
          <w:sz w:val="24"/>
          <w:szCs w:val="24"/>
          <w:rtl/>
        </w:rPr>
        <w:t>קיזר נ' מדינת ישראל</w:t>
      </w:r>
      <w:r>
        <w:rPr>
          <w:rFonts w:ascii="FrankRuehl" w:hAnsi="FrankRuehl" w:cs="FrankRuehl"/>
          <w:sz w:val="28"/>
          <w:szCs w:val="28"/>
          <w:rtl/>
        </w:rPr>
        <w:t xml:space="preserve"> (9.3.2022), כלהלן:</w:t>
      </w:r>
    </w:p>
    <w:p w:rsidR="00A620FF" w:rsidRDefault="00A620FF" w:rsidP="00A620FF">
      <w:pPr>
        <w:pStyle w:val="ab"/>
        <w:spacing w:after="0" w:line="360" w:lineRule="auto"/>
        <w:rPr>
          <w:rFonts w:ascii="FrankRuehl" w:hAnsi="FrankRuehl" w:cs="FrankRuehl"/>
          <w:sz w:val="28"/>
          <w:szCs w:val="28"/>
        </w:rPr>
      </w:pPr>
    </w:p>
    <w:p w:rsidR="00A620FF" w:rsidRDefault="00A620FF" w:rsidP="00A620FF">
      <w:pPr>
        <w:ind w:left="1440" w:right="567"/>
        <w:jc w:val="both"/>
        <w:rPr>
          <w:rFonts w:ascii="FrankRuehl" w:hAnsi="FrankRuehl" w:cs="FrankRuehl"/>
          <w:sz w:val="28"/>
          <w:szCs w:val="28"/>
          <w:rtl/>
        </w:rPr>
      </w:pPr>
      <w:r>
        <w:rPr>
          <w:rFonts w:ascii="FrankRuehl" w:hAnsi="FrankRuehl" w:cs="FrankRuehl"/>
          <w:sz w:val="28"/>
          <w:szCs w:val="28"/>
          <w:rtl/>
        </w:rPr>
        <w:lastRenderedPageBreak/>
        <w:t>"ככל שעוצמת הפגיעה בערכים המוגנים גבוהה, כך יידרשו נימוקים אישיים משמעותיים ביותר ומטבע הדברים יקשה על ההגנה להוכיח כי הפגיעה הנובעת מההרשעה אינה מדתית. מנגד, על הקצה השני של המידרג, ככל שעצמת הפגיעה בערכים המוגנים פחותה, כי אז יקל יותר להניח תשתית להראות כי הפגיעה כתוצאה מההרשעה אינה מדתית ופחות יידרש העושה להצביע על נזקים קונקרטיים ויכול וניתן יהיה להסתפק בהוכחת פגיעה כללית יותר"</w:t>
      </w:r>
    </w:p>
    <w:p w:rsidR="00A620FF" w:rsidRDefault="00A620FF" w:rsidP="00A620FF">
      <w:pPr>
        <w:pStyle w:val="ab"/>
        <w:spacing w:after="0" w:line="360" w:lineRule="auto"/>
        <w:rPr>
          <w:rFonts w:ascii="FrankRuehl" w:hAnsi="FrankRuehl" w:cs="FrankRuehl"/>
          <w:sz w:val="28"/>
          <w:szCs w:val="28"/>
        </w:rPr>
      </w:pPr>
    </w:p>
    <w:p w:rsidR="00A620FF" w:rsidRDefault="00A620FF" w:rsidP="00A620FF">
      <w:pPr>
        <w:pStyle w:val="ab"/>
        <w:numPr>
          <w:ilvl w:val="0"/>
          <w:numId w:val="3"/>
        </w:numPr>
        <w:spacing w:after="0" w:line="360" w:lineRule="auto"/>
        <w:ind w:hanging="494"/>
        <w:jc w:val="both"/>
        <w:rPr>
          <w:rFonts w:ascii="FrankRuehl" w:hAnsi="FrankRuehl" w:cs="FrankRuehl"/>
          <w:sz w:val="28"/>
          <w:szCs w:val="28"/>
          <w:rtl/>
        </w:rPr>
      </w:pPr>
      <w:r>
        <w:rPr>
          <w:rFonts w:ascii="FrankRuehl" w:hAnsi="FrankRuehl" w:cs="FrankRuehl"/>
          <w:sz w:val="28"/>
          <w:szCs w:val="28"/>
          <w:rtl/>
        </w:rPr>
        <w:t xml:space="preserve">לענייננו. התנאי הראשון – מתקיים. הוא מתקיים במספר פרמטרים (כלכלית, רפואית וחברתית), כאשר הצֶבֶר שלהם מבסס אותו. </w:t>
      </w:r>
    </w:p>
    <w:p w:rsidR="00A620FF" w:rsidRDefault="00A620FF" w:rsidP="00A620FF">
      <w:pPr>
        <w:pStyle w:val="ab"/>
        <w:spacing w:after="0" w:line="360" w:lineRule="auto"/>
        <w:jc w:val="both"/>
        <w:rPr>
          <w:rFonts w:ascii="FrankRuehl" w:hAnsi="FrankRuehl" w:cs="FrankRuehl"/>
          <w:sz w:val="28"/>
          <w:szCs w:val="28"/>
        </w:rPr>
      </w:pPr>
    </w:p>
    <w:p w:rsidR="00A620FF" w:rsidRDefault="00A620FF" w:rsidP="00A620FF">
      <w:pPr>
        <w:pStyle w:val="ab"/>
        <w:numPr>
          <w:ilvl w:val="0"/>
          <w:numId w:val="3"/>
        </w:numPr>
        <w:spacing w:after="0" w:line="360" w:lineRule="auto"/>
        <w:ind w:hanging="494"/>
        <w:jc w:val="both"/>
        <w:rPr>
          <w:rFonts w:ascii="FrankRuehl" w:hAnsi="FrankRuehl" w:cs="FrankRuehl"/>
          <w:sz w:val="28"/>
          <w:szCs w:val="28"/>
        </w:rPr>
      </w:pPr>
      <w:r>
        <w:rPr>
          <w:rFonts w:ascii="Miriam" w:hAnsi="Miriam" w:cs="Miriam"/>
          <w:sz w:val="24"/>
          <w:szCs w:val="24"/>
          <w:rtl/>
        </w:rPr>
        <w:t>כלכלית</w:t>
      </w:r>
      <w:r>
        <w:rPr>
          <w:rFonts w:ascii="FrankRuehl" w:hAnsi="FrankRuehl" w:cs="FrankRuehl"/>
          <w:sz w:val="28"/>
          <w:szCs w:val="28"/>
          <w:rtl/>
        </w:rPr>
        <w:t xml:space="preserve"> – הנאשם הראה כי הותרת ההרשעה בעניינו, בהיותו הבעלים והמנהל של שתי החברות אשר לדבריו התמזגו לחברה אחת (ש' 27-26, ע' 16), תפגע ממשית ביכולתה להשתתף במכרזים. הנאשם טען כי החברה שלו ספקית תוכניות עבור גופים רבים, חלקם גופים רגישים (למשל: ההתקשרות מול התעשייה האווירית – מוצג נ/5), ומכאן חשיבות סוגית ההרשעה. מוצג נ/6 שעניינו הצהרה בדבר העדר הרשעות במסגרת מכרז עבור רשות מקומית, מאשש זאת. לא זו בלבד. לדידו, הותרת ההרשעה שלו גורעת מיכולות המימון לפעילות העסקית של העסק. הנאשם תיאר כי הוא נעדר פנסיה, נעדר חסכונות וכי במסגרת ההליך המשפטי נעזר במימון מילדיו ואין הוא רוצה להיות "</w:t>
      </w:r>
      <w:r>
        <w:rPr>
          <w:rFonts w:ascii="Miriam" w:hAnsi="Miriam" w:cs="Miriam"/>
          <w:sz w:val="24"/>
          <w:szCs w:val="24"/>
          <w:rtl/>
        </w:rPr>
        <w:t>נטל</w:t>
      </w:r>
      <w:r>
        <w:rPr>
          <w:rFonts w:ascii="FrankRuehl" w:hAnsi="FrankRuehl" w:cs="FrankRuehl"/>
          <w:sz w:val="28"/>
          <w:szCs w:val="28"/>
          <w:rtl/>
        </w:rPr>
        <w:t>" על משפחתו. להתרשמותי, ולאחר שבחנתי גם את האמור בתסקיר, נראה כי הותרת ההרשעה בעניינו של הנאשם, תביא לפגיעה כלכלית בלתי מידתית בפרנסתו. נזכיר, הנאשם מתקרב לגיל ה-70 לחייו, ללא כל הסתבכות בפלילים בשבעת העשורים הקודמים, והפגיעה בעסקו בשלב זה של החיים, יכולה להיות בלתי הפיכה. אני מתקשה לראות כיצד הנאשם יכול להשתלב בשוק העבודה ככל שחברותיו יחדלו מפעילות כלכלית.</w:t>
      </w:r>
    </w:p>
    <w:p w:rsidR="00A620FF" w:rsidRDefault="00A620FF" w:rsidP="00A620FF">
      <w:pPr>
        <w:pStyle w:val="ab"/>
        <w:spacing w:after="0" w:line="360" w:lineRule="auto"/>
        <w:rPr>
          <w:rFonts w:ascii="FrankRuehl" w:hAnsi="FrankRuehl" w:cs="FrankRuehl"/>
          <w:sz w:val="28"/>
          <w:szCs w:val="28"/>
        </w:rPr>
      </w:pPr>
    </w:p>
    <w:p w:rsidR="00A620FF" w:rsidRDefault="00A620FF" w:rsidP="00A620FF">
      <w:pPr>
        <w:pStyle w:val="ab"/>
        <w:numPr>
          <w:ilvl w:val="0"/>
          <w:numId w:val="3"/>
        </w:numPr>
        <w:spacing w:after="0" w:line="360" w:lineRule="auto"/>
        <w:ind w:hanging="494"/>
        <w:jc w:val="both"/>
        <w:rPr>
          <w:rFonts w:ascii="FrankRuehl" w:hAnsi="FrankRuehl" w:cs="FrankRuehl"/>
          <w:sz w:val="28"/>
          <w:szCs w:val="28"/>
          <w:rtl/>
        </w:rPr>
      </w:pPr>
      <w:r>
        <w:rPr>
          <w:rFonts w:ascii="FrankRuehl" w:hAnsi="FrankRuehl" w:cs="FrankRuehl"/>
          <w:sz w:val="28"/>
          <w:szCs w:val="28"/>
          <w:rtl/>
        </w:rPr>
        <w:t xml:space="preserve">בנוסף, </w:t>
      </w:r>
      <w:r>
        <w:rPr>
          <w:rFonts w:ascii="Miriam" w:hAnsi="Miriam" w:cs="Miriam"/>
          <w:sz w:val="24"/>
          <w:szCs w:val="24"/>
          <w:rtl/>
        </w:rPr>
        <w:t>בריאותית</w:t>
      </w:r>
      <w:r>
        <w:rPr>
          <w:rFonts w:ascii="FrankRuehl" w:hAnsi="FrankRuehl" w:cs="FrankRuehl"/>
          <w:sz w:val="28"/>
          <w:szCs w:val="28"/>
          <w:rtl/>
        </w:rPr>
        <w:t xml:space="preserve"> – הנאשם הראה כי עבר מספר אירועים לבביים. ביום 2.2.2022 הוגשו מסמכים בזיקה לנושא זה. כמו כן, התסקיר התייחס לחומר שהוצג לפניו בנוגע לטיפול הנפשי שמקבל הנאשם באופן קבוע. אמנם חומר כאמור לא הוצג לבית המשפט, אך אין לי לפקפק מהתרשמות שירות המבחן בנדון. מכאן, אף הפרמטר הבריאותי נכלל בשאלת הנזק הקונקרטי.</w:t>
      </w:r>
    </w:p>
    <w:p w:rsidR="00A620FF" w:rsidRDefault="00A620FF" w:rsidP="00A620FF">
      <w:pPr>
        <w:pStyle w:val="ab"/>
        <w:spacing w:after="0" w:line="360" w:lineRule="auto"/>
        <w:rPr>
          <w:rFonts w:ascii="FrankRuehl" w:hAnsi="FrankRuehl" w:cs="FrankRuehl"/>
          <w:sz w:val="28"/>
          <w:szCs w:val="28"/>
        </w:rPr>
      </w:pPr>
    </w:p>
    <w:p w:rsidR="00A620FF" w:rsidRDefault="00A620FF" w:rsidP="00A620FF">
      <w:pPr>
        <w:pStyle w:val="ab"/>
        <w:numPr>
          <w:ilvl w:val="0"/>
          <w:numId w:val="3"/>
        </w:numPr>
        <w:spacing w:after="0" w:line="360" w:lineRule="auto"/>
        <w:ind w:hanging="494"/>
        <w:jc w:val="both"/>
        <w:rPr>
          <w:rFonts w:ascii="FrankRuehl" w:hAnsi="FrankRuehl" w:cs="FrankRuehl"/>
          <w:sz w:val="28"/>
          <w:szCs w:val="28"/>
          <w:rtl/>
        </w:rPr>
      </w:pPr>
      <w:r>
        <w:rPr>
          <w:rFonts w:ascii="Miriam" w:hAnsi="Miriam" w:cs="Miriam"/>
          <w:sz w:val="24"/>
          <w:szCs w:val="24"/>
          <w:rtl/>
        </w:rPr>
        <w:lastRenderedPageBreak/>
        <w:t>חברתית</w:t>
      </w:r>
      <w:r>
        <w:rPr>
          <w:rFonts w:ascii="FrankRuehl" w:hAnsi="FrankRuehl" w:cs="FrankRuehl"/>
          <w:sz w:val="28"/>
          <w:szCs w:val="28"/>
          <w:rtl/>
        </w:rPr>
        <w:t xml:space="preserve"> – הנאשם הביע חשש ממשי מפני הותרת הרשעתו שכן היא עלולה להעמיד את אשרות השהייה שלו בארה"ב ובקנדה לפני סימן שאלה ועד שלילה. התסקיר ציין כי הוצגה לפניו חוות דעת בנדון לעניין הפגיעה הצפויה באשרת השהייה לארה"ב. חוות דעת כזו לא הוצגה בבית המשפט. עם זאת, טיעון זה של ההגנה, בלשון המעטה, לא ניתן לומר לגביו שהוא תיאורטי ולא הגיוני. נהפוך הוא, אך טבעי כי מדינות רבות יַתנו את אשרות הכניסה אליהן בהעדר קיומן של הרשעות בעבירות בכלל ובפרט בעבירות חמורות. שני הצדדים התייחסו לכך כי במסגרת המגעים ביניהם לצורך גיבוש ההסדר, נושא זה עלה ולכן בסופו של יום הומרה הוראת החיקוק שבכתב האישום המקורי, מסעיף 117(ב) לסעיף 117(א) שהוא במדרג חומרה נמוכה יותר, כך שביטול האשרה יהיה נתון לשיקול דעת ולא אוטומטי. כך או כך, שעה שהנאשם הוא בעל אשרה כזו, ומרבית בני משפחתו מתגוררים דרך קבע בארה"ב, נראה כי הותרת ההרשעה עלולה להביא לשלילת האשרה על כל הפגיעה המשפחתית הנלווית לכך.</w:t>
      </w:r>
    </w:p>
    <w:p w:rsidR="00A620FF" w:rsidRPr="00357D8E" w:rsidRDefault="00A620FF" w:rsidP="00A620FF">
      <w:pPr>
        <w:pStyle w:val="ab"/>
        <w:spacing w:after="0" w:line="360" w:lineRule="auto"/>
        <w:rPr>
          <w:rFonts w:ascii="FrankRuehl" w:hAnsi="FrankRuehl" w:cs="FrankRuehl"/>
          <w:sz w:val="20"/>
          <w:szCs w:val="20"/>
        </w:rPr>
      </w:pPr>
    </w:p>
    <w:p w:rsidR="00A620FF" w:rsidRDefault="00A620FF" w:rsidP="00A620FF">
      <w:pPr>
        <w:pStyle w:val="ab"/>
        <w:numPr>
          <w:ilvl w:val="0"/>
          <w:numId w:val="3"/>
        </w:numPr>
        <w:spacing w:after="0" w:line="360" w:lineRule="auto"/>
        <w:ind w:hanging="494"/>
        <w:jc w:val="both"/>
        <w:rPr>
          <w:rFonts w:ascii="FrankRuehl" w:hAnsi="FrankRuehl" w:cs="FrankRuehl"/>
          <w:sz w:val="28"/>
          <w:szCs w:val="28"/>
          <w:rtl/>
        </w:rPr>
      </w:pPr>
      <w:r>
        <w:rPr>
          <w:rFonts w:ascii="FrankRuehl" w:hAnsi="FrankRuehl" w:cs="FrankRuehl"/>
          <w:sz w:val="28"/>
          <w:szCs w:val="28"/>
          <w:rtl/>
        </w:rPr>
        <w:t>אכן, לא אכחד, לוּ כל פרמטר מאלה היה מתקיים לחוד ללא זולתו, ספק אם היה די בו כדי להצביע על קיומו של נזק קונקרטי. ואולם, הצֶבֶר שלהם כאמור, מבסס את התנאי ובעוצמה גבוהה.</w:t>
      </w:r>
    </w:p>
    <w:p w:rsidR="00A620FF" w:rsidRPr="00357D8E" w:rsidRDefault="00A620FF" w:rsidP="00A620FF">
      <w:pPr>
        <w:pStyle w:val="ab"/>
        <w:spacing w:after="0" w:line="360" w:lineRule="auto"/>
        <w:rPr>
          <w:rFonts w:ascii="FrankRuehl" w:hAnsi="FrankRuehl" w:cs="FrankRuehl"/>
          <w:sz w:val="20"/>
          <w:szCs w:val="20"/>
        </w:rPr>
      </w:pPr>
    </w:p>
    <w:p w:rsidR="00A620FF" w:rsidRDefault="00A620FF" w:rsidP="00A620FF">
      <w:pPr>
        <w:pStyle w:val="ab"/>
        <w:numPr>
          <w:ilvl w:val="0"/>
          <w:numId w:val="3"/>
        </w:numPr>
        <w:spacing w:after="0" w:line="360" w:lineRule="auto"/>
        <w:ind w:hanging="494"/>
        <w:jc w:val="both"/>
        <w:rPr>
          <w:rFonts w:ascii="FrankRuehl" w:hAnsi="FrankRuehl" w:cs="FrankRuehl"/>
          <w:sz w:val="28"/>
          <w:szCs w:val="28"/>
          <w:rtl/>
        </w:rPr>
      </w:pPr>
      <w:r>
        <w:rPr>
          <w:rFonts w:ascii="FrankRuehl" w:hAnsi="FrankRuehl" w:cs="FrankRuehl"/>
          <w:sz w:val="28"/>
          <w:szCs w:val="28"/>
          <w:rtl/>
        </w:rPr>
        <w:t xml:space="preserve">אשר לתנאי השני – סבורני שגם הוא מתקיים. כפי שעמדתי על כך לעיל, העבירות שבוצעו הן קלות לביצוע והיקף המס מושא המחדל, כשלעצמם, מבססים את החומרה. על כך מתווספת הפסיקה שמבכרת כאמור את שיקולי ההרתעה על-פני נסיבותיו של הנאשם. לצד זאת, בנסיבותיו של המקרה לפניי, ובנסיבות ביצוע העבירות כפי שהתחדד בדיון הטיעונים לעונש, במיוחד העדר התכנון בביצוע, העדר התחכום והעדר כוונה להונות את שלטונות המס, סבורני כאמור כי העבירות בהן הורשע הנאשם אינן מצויות במדרג חומרה גבוה. </w:t>
      </w:r>
    </w:p>
    <w:p w:rsidR="00A620FF" w:rsidRPr="009733B9" w:rsidRDefault="00A620FF" w:rsidP="00A620FF">
      <w:pPr>
        <w:pStyle w:val="ab"/>
        <w:spacing w:after="0" w:line="360" w:lineRule="auto"/>
        <w:rPr>
          <w:rFonts w:ascii="FrankRuehl" w:hAnsi="FrankRuehl" w:cs="FrankRuehl"/>
          <w:sz w:val="20"/>
          <w:szCs w:val="20"/>
        </w:rPr>
      </w:pPr>
    </w:p>
    <w:p w:rsidR="00A620FF" w:rsidRDefault="00A620FF" w:rsidP="00A620FF">
      <w:pPr>
        <w:pStyle w:val="ab"/>
        <w:numPr>
          <w:ilvl w:val="0"/>
          <w:numId w:val="3"/>
        </w:numPr>
        <w:spacing w:after="0" w:line="360" w:lineRule="auto"/>
        <w:ind w:hanging="494"/>
        <w:jc w:val="both"/>
        <w:rPr>
          <w:rFonts w:ascii="FrankRuehl" w:hAnsi="FrankRuehl" w:cs="FrankRuehl"/>
          <w:sz w:val="28"/>
          <w:szCs w:val="28"/>
          <w:rtl/>
        </w:rPr>
      </w:pPr>
      <w:r>
        <w:rPr>
          <w:rFonts w:ascii="FrankRuehl" w:hAnsi="FrankRuehl" w:cs="FrankRuehl"/>
          <w:sz w:val="28"/>
          <w:szCs w:val="28"/>
          <w:rtl/>
        </w:rPr>
        <w:t xml:space="preserve">מכל מקום, גם אם שגיתי בנדון והיה נקבע כי מדובר בפגיעה בערכים המוגנים במדרג חומרה גבוה, סבורני – ותוך יישום כלי העזר של </w:t>
      </w:r>
      <w:r>
        <w:rPr>
          <w:rFonts w:ascii="Miriam" w:hAnsi="Miriam" w:cs="Miriam"/>
          <w:sz w:val="24"/>
          <w:szCs w:val="24"/>
          <w:rtl/>
        </w:rPr>
        <w:t>מקבילית הכוחות</w:t>
      </w:r>
      <w:r>
        <w:rPr>
          <w:rFonts w:ascii="FrankRuehl" w:hAnsi="FrankRuehl" w:cs="FrankRuehl"/>
          <w:sz w:val="28"/>
          <w:szCs w:val="28"/>
          <w:rtl/>
        </w:rPr>
        <w:t xml:space="preserve"> – כי עוצמת הנזק הממשי שעלול להיגרם לנאשם עם הותרת הרשעתו, עולה על חומרת הפגיעה באינטרס הציבורי לוּ תבוטל ההרשעה. נזכיר, הנאשם שכבר הסיר את מחדלו עוד לפני שהועמד לדין, מתקרב לגיל 70 ללא עבר פלילי כך שהסבירות כי יעבור עבירות נוספות היא נמוכה, וממילא אינו מגלה דפוסים עברייניים כלשהם, לרבות בתחום הפיסקאלי.</w:t>
      </w:r>
    </w:p>
    <w:p w:rsidR="00A620FF" w:rsidRPr="00357D8E" w:rsidRDefault="00A620FF" w:rsidP="00A620FF">
      <w:pPr>
        <w:pStyle w:val="ab"/>
        <w:spacing w:after="0" w:line="360" w:lineRule="auto"/>
        <w:rPr>
          <w:rFonts w:ascii="FrankRuehl" w:hAnsi="FrankRuehl" w:cs="FrankRuehl"/>
          <w:sz w:val="20"/>
          <w:szCs w:val="20"/>
        </w:rPr>
      </w:pPr>
    </w:p>
    <w:p w:rsidR="00A620FF" w:rsidRDefault="00A620FF" w:rsidP="00A620FF">
      <w:pPr>
        <w:pStyle w:val="ab"/>
        <w:numPr>
          <w:ilvl w:val="0"/>
          <w:numId w:val="3"/>
        </w:numPr>
        <w:spacing w:after="0" w:line="360" w:lineRule="auto"/>
        <w:ind w:hanging="494"/>
        <w:jc w:val="both"/>
        <w:rPr>
          <w:rFonts w:ascii="FrankRuehl" w:hAnsi="FrankRuehl" w:cs="FrankRuehl"/>
          <w:sz w:val="28"/>
          <w:szCs w:val="28"/>
          <w:rtl/>
        </w:rPr>
      </w:pPr>
      <w:r>
        <w:rPr>
          <w:rFonts w:ascii="FrankRuehl" w:hAnsi="FrankRuehl" w:cs="FrankRuehl"/>
          <w:sz w:val="28"/>
          <w:szCs w:val="28"/>
          <w:rtl/>
        </w:rPr>
        <w:t>ראו והשוו עם החלטות בהן בוטלו הרשעות בעבירות פיסקליות ואחרות:</w:t>
      </w:r>
    </w:p>
    <w:p w:rsidR="00A620FF" w:rsidRDefault="00A620FF" w:rsidP="00A620FF">
      <w:pPr>
        <w:pStyle w:val="ab"/>
        <w:numPr>
          <w:ilvl w:val="0"/>
          <w:numId w:val="5"/>
        </w:numPr>
        <w:spacing w:after="0" w:line="240" w:lineRule="auto"/>
        <w:ind w:left="1077" w:hanging="357"/>
        <w:jc w:val="both"/>
        <w:rPr>
          <w:rFonts w:ascii="FrankRuehl" w:hAnsi="FrankRuehl" w:cs="FrankRuehl"/>
          <w:sz w:val="28"/>
          <w:szCs w:val="28"/>
        </w:rPr>
      </w:pPr>
      <w:r>
        <w:rPr>
          <w:rFonts w:ascii="FrankRuehl" w:hAnsi="FrankRuehl" w:cs="FrankRuehl"/>
          <w:sz w:val="28"/>
          <w:szCs w:val="28"/>
          <w:rtl/>
        </w:rPr>
        <w:t xml:space="preserve">רע"פ 4606/01 </w:t>
      </w:r>
      <w:r>
        <w:rPr>
          <w:rFonts w:ascii="Miriam" w:hAnsi="Miriam" w:cs="Miriam"/>
          <w:sz w:val="24"/>
          <w:szCs w:val="24"/>
          <w:rtl/>
        </w:rPr>
        <w:t>סופר נ' מדינת ישראל</w:t>
      </w:r>
      <w:r>
        <w:rPr>
          <w:rFonts w:ascii="FrankRuehl" w:hAnsi="FrankRuehl" w:cs="FrankRuehl"/>
          <w:sz w:val="28"/>
          <w:szCs w:val="28"/>
          <w:rtl/>
        </w:rPr>
        <w:t xml:space="preserve"> (3.1.2002);</w:t>
      </w:r>
    </w:p>
    <w:p w:rsidR="00A620FF" w:rsidRDefault="00A620FF" w:rsidP="00A620FF">
      <w:pPr>
        <w:pStyle w:val="ab"/>
        <w:numPr>
          <w:ilvl w:val="0"/>
          <w:numId w:val="5"/>
        </w:numPr>
        <w:spacing w:after="0" w:line="240" w:lineRule="auto"/>
        <w:ind w:left="1077" w:hanging="357"/>
        <w:jc w:val="both"/>
        <w:rPr>
          <w:rFonts w:ascii="FrankRuehl" w:hAnsi="FrankRuehl" w:cs="FrankRuehl"/>
          <w:sz w:val="28"/>
          <w:szCs w:val="28"/>
        </w:rPr>
      </w:pPr>
      <w:r>
        <w:rPr>
          <w:rFonts w:ascii="FrankRuehl" w:hAnsi="FrankRuehl" w:cs="FrankRuehl"/>
          <w:sz w:val="28"/>
          <w:szCs w:val="28"/>
          <w:rtl/>
        </w:rPr>
        <w:t xml:space="preserve">ת"פ (מחוזי ב"ש) 69476-07-20 </w:t>
      </w:r>
      <w:r>
        <w:rPr>
          <w:rFonts w:ascii="Miriam" w:hAnsi="Miriam" w:cs="Miriam"/>
          <w:sz w:val="24"/>
          <w:szCs w:val="24"/>
          <w:rtl/>
        </w:rPr>
        <w:t>מדינת ישראל נ' דוד</w:t>
      </w:r>
      <w:r>
        <w:rPr>
          <w:rFonts w:ascii="FrankRuehl" w:hAnsi="FrankRuehl" w:cs="FrankRuehl"/>
          <w:sz w:val="28"/>
          <w:szCs w:val="28"/>
          <w:rtl/>
        </w:rPr>
        <w:t xml:space="preserve"> (4.7.2021);</w:t>
      </w:r>
    </w:p>
    <w:p w:rsidR="00A620FF" w:rsidRDefault="00A620FF" w:rsidP="00A620FF">
      <w:pPr>
        <w:pStyle w:val="ab"/>
        <w:numPr>
          <w:ilvl w:val="0"/>
          <w:numId w:val="5"/>
        </w:numPr>
        <w:spacing w:after="0" w:line="240" w:lineRule="auto"/>
        <w:ind w:left="1077" w:hanging="357"/>
        <w:jc w:val="both"/>
        <w:rPr>
          <w:rFonts w:ascii="FrankRuehl" w:hAnsi="FrankRuehl" w:cs="FrankRuehl"/>
          <w:sz w:val="28"/>
          <w:szCs w:val="28"/>
        </w:rPr>
      </w:pPr>
      <w:r>
        <w:rPr>
          <w:rFonts w:ascii="FrankRuehl" w:hAnsi="FrankRuehl" w:cs="FrankRuehl"/>
          <w:sz w:val="28"/>
          <w:szCs w:val="28"/>
          <w:rtl/>
        </w:rPr>
        <w:t xml:space="preserve">עפ"ג (מחוזי מרכז) 26177-05-14 </w:t>
      </w:r>
      <w:r>
        <w:rPr>
          <w:rFonts w:ascii="Miriam" w:hAnsi="Miriam" w:cs="Miriam"/>
          <w:sz w:val="24"/>
          <w:szCs w:val="24"/>
          <w:rtl/>
        </w:rPr>
        <w:t>בהרב נ' מדינת ישראל</w:t>
      </w:r>
      <w:r>
        <w:rPr>
          <w:rFonts w:ascii="FrankRuehl" w:hAnsi="FrankRuehl" w:cs="FrankRuehl"/>
          <w:sz w:val="28"/>
          <w:szCs w:val="28"/>
          <w:rtl/>
        </w:rPr>
        <w:t xml:space="preserve"> (22.2.2015);</w:t>
      </w:r>
    </w:p>
    <w:p w:rsidR="00A620FF" w:rsidRDefault="00A620FF" w:rsidP="00A620FF">
      <w:pPr>
        <w:pStyle w:val="ab"/>
        <w:numPr>
          <w:ilvl w:val="0"/>
          <w:numId w:val="5"/>
        </w:numPr>
        <w:spacing w:after="0" w:line="240" w:lineRule="auto"/>
        <w:ind w:left="1077" w:hanging="357"/>
        <w:jc w:val="both"/>
        <w:rPr>
          <w:rFonts w:ascii="FrankRuehl" w:hAnsi="FrankRuehl" w:cs="FrankRuehl"/>
          <w:sz w:val="28"/>
          <w:szCs w:val="28"/>
        </w:rPr>
      </w:pPr>
      <w:r>
        <w:rPr>
          <w:rFonts w:ascii="FrankRuehl" w:hAnsi="FrankRuehl" w:cs="FrankRuehl"/>
          <w:sz w:val="28"/>
          <w:szCs w:val="28"/>
          <w:rtl/>
        </w:rPr>
        <w:t xml:space="preserve">עפ"ג (מחוזי מרכז) 44065-04-12 </w:t>
      </w:r>
      <w:r>
        <w:rPr>
          <w:rFonts w:ascii="Miriam" w:hAnsi="Miriam" w:cs="Miriam"/>
          <w:sz w:val="24"/>
          <w:szCs w:val="24"/>
          <w:rtl/>
        </w:rPr>
        <w:t>מדינת ישראל נ' דאנו</w:t>
      </w:r>
      <w:r>
        <w:rPr>
          <w:rFonts w:ascii="FrankRuehl" w:hAnsi="FrankRuehl" w:cs="FrankRuehl"/>
          <w:sz w:val="28"/>
          <w:szCs w:val="28"/>
          <w:rtl/>
        </w:rPr>
        <w:t xml:space="preserve"> (15.7.2012);</w:t>
      </w:r>
    </w:p>
    <w:p w:rsidR="00A620FF" w:rsidRDefault="00A620FF" w:rsidP="00A620FF">
      <w:pPr>
        <w:pStyle w:val="ab"/>
        <w:numPr>
          <w:ilvl w:val="0"/>
          <w:numId w:val="5"/>
        </w:numPr>
        <w:spacing w:after="0" w:line="240" w:lineRule="auto"/>
        <w:ind w:left="1077" w:hanging="357"/>
        <w:jc w:val="both"/>
        <w:rPr>
          <w:rFonts w:ascii="FrankRuehl" w:hAnsi="FrankRuehl" w:cs="FrankRuehl"/>
          <w:sz w:val="28"/>
          <w:szCs w:val="28"/>
        </w:rPr>
      </w:pPr>
      <w:r>
        <w:rPr>
          <w:rFonts w:ascii="FrankRuehl" w:hAnsi="FrankRuehl" w:cs="FrankRuehl"/>
          <w:sz w:val="28"/>
          <w:szCs w:val="28"/>
          <w:rtl/>
        </w:rPr>
        <w:t xml:space="preserve">ת"פ (שלום חיפה) 36145-04-19 </w:t>
      </w:r>
      <w:r>
        <w:rPr>
          <w:rFonts w:ascii="Miriam" w:hAnsi="Miriam" w:cs="Miriam"/>
          <w:sz w:val="24"/>
          <w:szCs w:val="24"/>
          <w:rtl/>
        </w:rPr>
        <w:t>מדינת ישראל נ' היינה בע"מ</w:t>
      </w:r>
      <w:r>
        <w:rPr>
          <w:rFonts w:ascii="FrankRuehl" w:hAnsi="FrankRuehl" w:cs="FrankRuehl"/>
          <w:sz w:val="28"/>
          <w:szCs w:val="28"/>
          <w:rtl/>
        </w:rPr>
        <w:t xml:space="preserve"> (8.6.2022);</w:t>
      </w:r>
    </w:p>
    <w:p w:rsidR="00A620FF" w:rsidRDefault="00A620FF" w:rsidP="00A620FF">
      <w:pPr>
        <w:pStyle w:val="ab"/>
        <w:numPr>
          <w:ilvl w:val="0"/>
          <w:numId w:val="5"/>
        </w:numPr>
        <w:spacing w:after="0" w:line="240" w:lineRule="auto"/>
        <w:ind w:left="1077" w:hanging="357"/>
        <w:jc w:val="both"/>
        <w:rPr>
          <w:rFonts w:ascii="FrankRuehl" w:hAnsi="FrankRuehl" w:cs="FrankRuehl"/>
          <w:sz w:val="28"/>
          <w:szCs w:val="28"/>
        </w:rPr>
      </w:pPr>
      <w:r>
        <w:rPr>
          <w:rFonts w:ascii="FrankRuehl" w:hAnsi="FrankRuehl" w:cs="FrankRuehl"/>
          <w:sz w:val="28"/>
          <w:szCs w:val="28"/>
          <w:rtl/>
        </w:rPr>
        <w:t xml:space="preserve">ת"פ (שלום ת"א) 61258-01-16 </w:t>
      </w:r>
      <w:r>
        <w:rPr>
          <w:rFonts w:ascii="Miriam" w:hAnsi="Miriam" w:cs="Miriam"/>
          <w:sz w:val="24"/>
          <w:szCs w:val="24"/>
          <w:rtl/>
        </w:rPr>
        <w:t>מע"מ ת"א נ' נדיר בע"מ</w:t>
      </w:r>
      <w:r>
        <w:rPr>
          <w:rFonts w:ascii="FrankRuehl" w:hAnsi="FrankRuehl" w:cs="FrankRuehl"/>
          <w:sz w:val="28"/>
          <w:szCs w:val="28"/>
          <w:rtl/>
        </w:rPr>
        <w:t xml:space="preserve"> (24.12.2018).</w:t>
      </w:r>
    </w:p>
    <w:p w:rsidR="00A620FF" w:rsidRDefault="00A620FF" w:rsidP="00A620FF">
      <w:pPr>
        <w:spacing w:line="360" w:lineRule="auto"/>
        <w:jc w:val="both"/>
        <w:rPr>
          <w:rFonts w:ascii="FrankRuehl" w:hAnsi="FrankRuehl" w:cs="FrankRuehl"/>
          <w:sz w:val="20"/>
          <w:szCs w:val="20"/>
        </w:rPr>
      </w:pPr>
    </w:p>
    <w:p w:rsidR="00357D8E" w:rsidRDefault="00A620FF" w:rsidP="00357D8E">
      <w:pPr>
        <w:pStyle w:val="ab"/>
        <w:numPr>
          <w:ilvl w:val="0"/>
          <w:numId w:val="3"/>
        </w:numPr>
        <w:spacing w:line="360" w:lineRule="auto"/>
        <w:ind w:hanging="494"/>
        <w:jc w:val="both"/>
        <w:rPr>
          <w:rFonts w:ascii="FrankRuehl" w:hAnsi="FrankRuehl" w:cs="FrankRuehl"/>
          <w:sz w:val="28"/>
          <w:szCs w:val="28"/>
        </w:rPr>
      </w:pPr>
      <w:r>
        <w:rPr>
          <w:rFonts w:ascii="FrankRuehl" w:hAnsi="FrankRuehl" w:cs="FrankRuehl"/>
          <w:sz w:val="28"/>
          <w:szCs w:val="28"/>
          <w:rtl/>
        </w:rPr>
        <w:t xml:space="preserve">לאור האמור, משנראה כי מתקיים יחס בלתי סביר בין הנזק שצפוי להיגרם לנאשם עם הותרת הרשעתו אל מול חומרת העבירות שבהן הורשע והפגיעה בערכים המוגנים,  ובהקשר זה יצוין </w:t>
      </w:r>
      <w:r>
        <w:rPr>
          <w:rFonts w:ascii="Miriam" w:hAnsi="Miriam" w:cs="Miriam"/>
          <w:sz w:val="24"/>
          <w:szCs w:val="24"/>
          <w:rtl/>
        </w:rPr>
        <w:t>שוב</w:t>
      </w:r>
      <w:r>
        <w:rPr>
          <w:rFonts w:ascii="FrankRuehl" w:hAnsi="FrankRuehl" w:cs="FrankRuehl"/>
          <w:sz w:val="28"/>
          <w:szCs w:val="28"/>
          <w:rtl/>
        </w:rPr>
        <w:t xml:space="preserve"> כי שירות המבחן המליץ את אשר המליץ מבלי שיידרש לכך מראש על-ידי בית המשפט, וזאת ככל הנראה נוכח חשיבות הדברים, סבורני כי מתקיים החריג שמצדיק ביטול הרשעה בעניינו של הנאשם, וכך אני מורה.</w:t>
      </w:r>
    </w:p>
    <w:p w:rsidR="00357D8E" w:rsidRPr="00357D8E" w:rsidRDefault="00357D8E" w:rsidP="00357D8E">
      <w:pPr>
        <w:spacing w:line="360" w:lineRule="auto"/>
        <w:jc w:val="both"/>
        <w:rPr>
          <w:rFonts w:ascii="FrankRuehl" w:hAnsi="FrankRuehl" w:cs="FrankRuehl"/>
          <w:sz w:val="28"/>
          <w:szCs w:val="28"/>
          <w:rtl/>
        </w:rPr>
      </w:pPr>
    </w:p>
    <w:p w:rsidR="00A620FF" w:rsidRDefault="00A620FF" w:rsidP="00A620FF">
      <w:pPr>
        <w:spacing w:line="360" w:lineRule="auto"/>
        <w:jc w:val="both"/>
        <w:rPr>
          <w:rFonts w:ascii="FrankRuehl" w:hAnsi="FrankRuehl" w:cs="FrankRuehl"/>
          <w:sz w:val="28"/>
          <w:szCs w:val="28"/>
          <w:u w:val="single"/>
          <w:rtl/>
        </w:rPr>
      </w:pPr>
      <w:r>
        <w:rPr>
          <w:rFonts w:ascii="Miriam" w:hAnsi="Miriam" w:cs="Miriam"/>
          <w:u w:val="single"/>
          <w:rtl/>
        </w:rPr>
        <w:t>סיכום</w:t>
      </w:r>
    </w:p>
    <w:p w:rsidR="00A620FF" w:rsidRDefault="00A620FF" w:rsidP="00A620FF">
      <w:pPr>
        <w:spacing w:line="360" w:lineRule="auto"/>
        <w:jc w:val="both"/>
        <w:rPr>
          <w:rFonts w:ascii="FrankRuehl" w:hAnsi="FrankRuehl" w:cs="FrankRuehl"/>
          <w:sz w:val="20"/>
          <w:szCs w:val="20"/>
        </w:rPr>
      </w:pPr>
    </w:p>
    <w:p w:rsidR="00A620FF" w:rsidRDefault="00A620FF" w:rsidP="00A620FF">
      <w:pPr>
        <w:pStyle w:val="ab"/>
        <w:numPr>
          <w:ilvl w:val="0"/>
          <w:numId w:val="3"/>
        </w:numPr>
        <w:spacing w:after="0" w:line="360" w:lineRule="auto"/>
        <w:ind w:hanging="494"/>
        <w:jc w:val="both"/>
        <w:rPr>
          <w:rFonts w:ascii="FrankRuehl" w:hAnsi="FrankRuehl" w:cs="FrankRuehl"/>
          <w:sz w:val="28"/>
          <w:szCs w:val="28"/>
        </w:rPr>
      </w:pPr>
      <w:r>
        <w:rPr>
          <w:rFonts w:ascii="FrankRuehl" w:hAnsi="FrankRuehl" w:cs="FrankRuehl"/>
          <w:sz w:val="28"/>
          <w:szCs w:val="28"/>
          <w:rtl/>
        </w:rPr>
        <w:t>על-יסוד הנימוקים לעיל מורה כלהלן:</w:t>
      </w:r>
    </w:p>
    <w:p w:rsidR="00A620FF" w:rsidRPr="00357D8E" w:rsidRDefault="00A620FF" w:rsidP="00A620FF">
      <w:pPr>
        <w:spacing w:line="360" w:lineRule="auto"/>
        <w:jc w:val="both"/>
        <w:rPr>
          <w:rFonts w:ascii="FrankRuehl" w:hAnsi="FrankRuehl" w:cs="FrankRuehl"/>
          <w:sz w:val="20"/>
          <w:szCs w:val="20"/>
        </w:rPr>
      </w:pPr>
    </w:p>
    <w:p w:rsidR="00A620FF" w:rsidRDefault="00A620FF" w:rsidP="00A620FF">
      <w:pPr>
        <w:spacing w:line="360" w:lineRule="auto"/>
        <w:jc w:val="both"/>
        <w:rPr>
          <w:rFonts w:ascii="Miriam" w:hAnsi="Miriam" w:cs="Miriam"/>
          <w:u w:val="single"/>
          <w:rtl/>
        </w:rPr>
      </w:pPr>
      <w:r>
        <w:rPr>
          <w:rFonts w:ascii="Miriam" w:hAnsi="Miriam" w:cs="Miriam"/>
          <w:u w:val="single"/>
          <w:rtl/>
        </w:rPr>
        <w:t>לעניין הנאשם</w:t>
      </w:r>
    </w:p>
    <w:p w:rsidR="00A620FF" w:rsidRDefault="00A620FF" w:rsidP="00A620FF">
      <w:pPr>
        <w:spacing w:line="360" w:lineRule="auto"/>
        <w:ind w:left="360"/>
        <w:rPr>
          <w:rFonts w:ascii="FrankRuehl" w:hAnsi="FrankRuehl" w:cs="FrankRuehl"/>
          <w:sz w:val="20"/>
          <w:szCs w:val="20"/>
        </w:rPr>
      </w:pPr>
    </w:p>
    <w:p w:rsidR="00A620FF" w:rsidRDefault="00A620FF" w:rsidP="00A620FF">
      <w:pPr>
        <w:pStyle w:val="ab"/>
        <w:numPr>
          <w:ilvl w:val="0"/>
          <w:numId w:val="3"/>
        </w:numPr>
        <w:spacing w:after="0" w:line="360" w:lineRule="auto"/>
        <w:ind w:hanging="494"/>
        <w:jc w:val="both"/>
        <w:rPr>
          <w:rFonts w:ascii="FrankRuehl" w:hAnsi="FrankRuehl" w:cs="FrankRuehl"/>
          <w:sz w:val="28"/>
          <w:szCs w:val="28"/>
          <w:rtl/>
        </w:rPr>
      </w:pPr>
      <w:r>
        <w:rPr>
          <w:rFonts w:ascii="FrankRuehl" w:hAnsi="FrankRuehl" w:cs="FrankRuehl"/>
          <w:sz w:val="28"/>
          <w:szCs w:val="28"/>
          <w:rtl/>
        </w:rPr>
        <w:t>נקבע בזאת שהנאשם ביצע את המיוחס לו בכתב האישום המתוקן. מורה על ביטול הרשעתו מיום 20.6.2022.</w:t>
      </w:r>
    </w:p>
    <w:p w:rsidR="00A620FF" w:rsidRPr="00357D8E" w:rsidRDefault="00A620FF" w:rsidP="00A620FF">
      <w:pPr>
        <w:pStyle w:val="ab"/>
        <w:spacing w:after="0" w:line="360" w:lineRule="auto"/>
        <w:jc w:val="both"/>
        <w:rPr>
          <w:rFonts w:ascii="FrankRuehl" w:hAnsi="FrankRuehl" w:cs="FrankRuehl"/>
          <w:sz w:val="20"/>
          <w:szCs w:val="20"/>
        </w:rPr>
      </w:pPr>
    </w:p>
    <w:p w:rsidR="00A620FF" w:rsidRDefault="00A620FF" w:rsidP="00A620FF">
      <w:pPr>
        <w:pStyle w:val="ab"/>
        <w:numPr>
          <w:ilvl w:val="0"/>
          <w:numId w:val="3"/>
        </w:numPr>
        <w:spacing w:after="0" w:line="360" w:lineRule="auto"/>
        <w:ind w:hanging="494"/>
        <w:jc w:val="both"/>
        <w:rPr>
          <w:rFonts w:ascii="FrankRuehl" w:hAnsi="FrankRuehl" w:cs="FrankRuehl"/>
          <w:sz w:val="28"/>
          <w:szCs w:val="28"/>
        </w:rPr>
      </w:pPr>
      <w:r>
        <w:rPr>
          <w:rFonts w:ascii="FrankRuehl" w:hAnsi="FrankRuehl" w:cs="FrankRuehl"/>
          <w:sz w:val="28"/>
          <w:szCs w:val="28"/>
          <w:rtl/>
        </w:rPr>
        <w:t xml:space="preserve">הנאשם יבצע 200 שעות לתועלת הציבור לפי תוכנית שיקבע שירות המבחן ותובא לעיוני </w:t>
      </w:r>
      <w:r>
        <w:rPr>
          <w:rFonts w:ascii="FrankRuehl" w:hAnsi="FrankRuehl" w:cs="FrankRuehl"/>
          <w:sz w:val="28"/>
          <w:szCs w:val="28"/>
          <w:u w:val="single"/>
          <w:rtl/>
        </w:rPr>
        <w:t>עד יום 6.9.2023</w:t>
      </w:r>
      <w:r>
        <w:rPr>
          <w:rFonts w:ascii="FrankRuehl" w:hAnsi="FrankRuehl" w:cs="FrankRuehl"/>
          <w:sz w:val="28"/>
          <w:szCs w:val="28"/>
          <w:rtl/>
        </w:rPr>
        <w:t xml:space="preserve">. שעות אלו יבוצעו תוך </w:t>
      </w:r>
      <w:r>
        <w:rPr>
          <w:rFonts w:ascii="FrankRuehl" w:hAnsi="FrankRuehl" w:cs="FrankRuehl"/>
          <w:sz w:val="28"/>
          <w:szCs w:val="28"/>
          <w:u w:val="single"/>
          <w:rtl/>
        </w:rPr>
        <w:t>שנה</w:t>
      </w:r>
      <w:r>
        <w:rPr>
          <w:rFonts w:ascii="FrankRuehl" w:hAnsi="FrankRuehl" w:cs="FrankRuehl"/>
          <w:sz w:val="28"/>
          <w:szCs w:val="28"/>
          <w:rtl/>
        </w:rPr>
        <w:t xml:space="preserve">. לעניין זה מופנית שימת לב הנאשם להוראת סעיף 71ד(3) </w:t>
      </w:r>
      <w:r>
        <w:rPr>
          <w:rFonts w:ascii="Miriam" w:hAnsi="Miriam" w:cs="Miriam"/>
          <w:sz w:val="24"/>
          <w:szCs w:val="24"/>
          <w:rtl/>
        </w:rPr>
        <w:t>בחוק העונשין</w:t>
      </w:r>
      <w:r>
        <w:rPr>
          <w:rFonts w:ascii="FrankRuehl" w:hAnsi="FrankRuehl" w:cs="FrankRuehl"/>
          <w:sz w:val="28"/>
          <w:szCs w:val="28"/>
          <w:rtl/>
        </w:rPr>
        <w:t xml:space="preserve"> לפיה אם יופר צו השירות, רשאי בית המשפט להטיל עונש אחר במקומו.</w:t>
      </w:r>
    </w:p>
    <w:p w:rsidR="00A620FF" w:rsidRPr="00357D8E" w:rsidRDefault="00A620FF" w:rsidP="00A620FF">
      <w:pPr>
        <w:pStyle w:val="ab"/>
        <w:spacing w:after="0" w:line="360" w:lineRule="auto"/>
        <w:rPr>
          <w:rFonts w:ascii="FrankRuehl" w:hAnsi="FrankRuehl" w:cs="FrankRuehl"/>
          <w:sz w:val="20"/>
          <w:szCs w:val="20"/>
        </w:rPr>
      </w:pPr>
    </w:p>
    <w:p w:rsidR="00A620FF" w:rsidRDefault="00A620FF" w:rsidP="00A620FF">
      <w:pPr>
        <w:pStyle w:val="ab"/>
        <w:numPr>
          <w:ilvl w:val="0"/>
          <w:numId w:val="3"/>
        </w:numPr>
        <w:spacing w:after="0" w:line="360" w:lineRule="auto"/>
        <w:ind w:hanging="494"/>
        <w:jc w:val="both"/>
        <w:rPr>
          <w:rFonts w:ascii="FrankRuehl" w:hAnsi="FrankRuehl" w:cs="FrankRuehl"/>
          <w:sz w:val="28"/>
          <w:szCs w:val="28"/>
          <w:rtl/>
        </w:rPr>
      </w:pPr>
      <w:r>
        <w:rPr>
          <w:rFonts w:ascii="FrankRuehl" w:hAnsi="FrankRuehl" w:cs="FrankRuehl"/>
          <w:sz w:val="28"/>
          <w:szCs w:val="28"/>
          <w:rtl/>
        </w:rPr>
        <w:t xml:space="preserve">הנאשם יתחייב לשלם סך 15,000 ₪ ככל שיעבור עבירה לפי </w:t>
      </w:r>
      <w:r>
        <w:rPr>
          <w:rFonts w:ascii="Miriam" w:hAnsi="Miriam" w:cs="Miriam"/>
          <w:sz w:val="24"/>
          <w:szCs w:val="24"/>
          <w:rtl/>
        </w:rPr>
        <w:t>חוק המע"מ</w:t>
      </w:r>
      <w:r>
        <w:rPr>
          <w:rFonts w:ascii="FrankRuehl" w:hAnsi="FrankRuehl" w:cs="FrankRuehl"/>
          <w:sz w:val="28"/>
          <w:szCs w:val="28"/>
          <w:rtl/>
        </w:rPr>
        <w:t xml:space="preserve"> או </w:t>
      </w:r>
      <w:r>
        <w:rPr>
          <w:rFonts w:ascii="Miriam" w:hAnsi="Miriam" w:cs="Miriam"/>
          <w:sz w:val="24"/>
          <w:szCs w:val="24"/>
          <w:rtl/>
        </w:rPr>
        <w:t>פקודת מס הכנסה [נוסח חדש]</w:t>
      </w:r>
      <w:r>
        <w:rPr>
          <w:rFonts w:ascii="FrankRuehl" w:hAnsi="FrankRuehl" w:cs="FrankRuehl"/>
          <w:sz w:val="28"/>
          <w:szCs w:val="28"/>
          <w:rtl/>
        </w:rPr>
        <w:t xml:space="preserve"> תוך שנתיים מהיום.</w:t>
      </w:r>
    </w:p>
    <w:p w:rsidR="00A620FF" w:rsidRPr="00357D8E" w:rsidRDefault="00A620FF" w:rsidP="00A620FF">
      <w:pPr>
        <w:spacing w:line="360" w:lineRule="auto"/>
        <w:jc w:val="both"/>
        <w:rPr>
          <w:rFonts w:ascii="FrankRuehl" w:hAnsi="FrankRuehl" w:cs="FrankRuehl"/>
          <w:sz w:val="20"/>
          <w:szCs w:val="20"/>
        </w:rPr>
      </w:pPr>
    </w:p>
    <w:p w:rsidR="00A620FF" w:rsidRDefault="00A620FF" w:rsidP="00A620FF">
      <w:pPr>
        <w:spacing w:line="360" w:lineRule="auto"/>
        <w:jc w:val="both"/>
        <w:rPr>
          <w:rFonts w:ascii="Miriam" w:hAnsi="Miriam" w:cs="Miriam"/>
          <w:u w:val="single"/>
          <w:rtl/>
        </w:rPr>
      </w:pPr>
      <w:r>
        <w:rPr>
          <w:rFonts w:ascii="Miriam" w:hAnsi="Miriam" w:cs="Miriam"/>
          <w:u w:val="single"/>
          <w:rtl/>
        </w:rPr>
        <w:lastRenderedPageBreak/>
        <w:t>לעניין החברות</w:t>
      </w:r>
    </w:p>
    <w:p w:rsidR="00A620FF" w:rsidRPr="00357D8E" w:rsidRDefault="00A620FF" w:rsidP="00A620FF">
      <w:pPr>
        <w:spacing w:line="360" w:lineRule="auto"/>
        <w:rPr>
          <w:rFonts w:ascii="FrankRuehl" w:hAnsi="FrankRuehl" w:cs="FrankRuehl"/>
          <w:sz w:val="20"/>
          <w:szCs w:val="20"/>
          <w:rtl/>
        </w:rPr>
      </w:pPr>
    </w:p>
    <w:p w:rsidR="00A620FF" w:rsidRDefault="00A620FF" w:rsidP="00A620FF">
      <w:pPr>
        <w:pStyle w:val="ab"/>
        <w:numPr>
          <w:ilvl w:val="0"/>
          <w:numId w:val="3"/>
        </w:numPr>
        <w:spacing w:after="0" w:line="360" w:lineRule="auto"/>
        <w:ind w:hanging="494"/>
        <w:jc w:val="both"/>
        <w:rPr>
          <w:rFonts w:ascii="FrankRuehl" w:hAnsi="FrankRuehl" w:cs="FrankRuehl"/>
          <w:sz w:val="28"/>
          <w:szCs w:val="28"/>
          <w:rtl/>
        </w:rPr>
      </w:pPr>
      <w:r>
        <w:rPr>
          <w:rFonts w:ascii="FrankRuehl" w:hAnsi="FrankRuehl" w:cs="FrankRuehl"/>
          <w:sz w:val="28"/>
          <w:szCs w:val="28"/>
          <w:rtl/>
        </w:rPr>
        <w:t>הרשעת הנאשמות 2 ו-3 מיום 20.6.2022 נותרת על כנה.</w:t>
      </w:r>
    </w:p>
    <w:p w:rsidR="00A620FF" w:rsidRPr="00357D8E" w:rsidRDefault="00A620FF" w:rsidP="00A620FF">
      <w:pPr>
        <w:pStyle w:val="ab"/>
        <w:spacing w:after="0" w:line="360" w:lineRule="auto"/>
        <w:jc w:val="both"/>
        <w:rPr>
          <w:rFonts w:ascii="FrankRuehl" w:hAnsi="FrankRuehl" w:cs="FrankRuehl"/>
          <w:sz w:val="20"/>
          <w:szCs w:val="20"/>
        </w:rPr>
      </w:pPr>
    </w:p>
    <w:p w:rsidR="00A620FF" w:rsidRDefault="00A620FF" w:rsidP="00A620FF">
      <w:pPr>
        <w:pStyle w:val="ab"/>
        <w:numPr>
          <w:ilvl w:val="0"/>
          <w:numId w:val="3"/>
        </w:numPr>
        <w:spacing w:after="0" w:line="360" w:lineRule="auto"/>
        <w:ind w:hanging="494"/>
        <w:jc w:val="both"/>
        <w:rPr>
          <w:rFonts w:ascii="FrankRuehl" w:hAnsi="FrankRuehl" w:cs="FrankRuehl"/>
          <w:sz w:val="28"/>
          <w:szCs w:val="28"/>
        </w:rPr>
      </w:pPr>
      <w:r>
        <w:rPr>
          <w:rFonts w:ascii="FrankRuehl" w:hAnsi="FrankRuehl" w:cs="FrankRuehl"/>
          <w:sz w:val="28"/>
          <w:szCs w:val="28"/>
          <w:rtl/>
        </w:rPr>
        <w:t xml:space="preserve">משית על הנאשמת 2 קנס בסך 20,000 ₪ אשר ישולם </w:t>
      </w:r>
      <w:r w:rsidR="00357D8E" w:rsidRPr="00357D8E">
        <w:rPr>
          <w:rFonts w:ascii="FrankRuehl" w:hAnsi="FrankRuehl" w:cs="FrankRuehl" w:hint="cs"/>
          <w:sz w:val="28"/>
          <w:szCs w:val="28"/>
          <w:rtl/>
        </w:rPr>
        <w:t xml:space="preserve">בשני תשלומים חודשיים שווים ועוקבים, כאשר התשלום הראשון ישולם </w:t>
      </w:r>
      <w:r w:rsidRPr="00357D8E">
        <w:rPr>
          <w:rFonts w:ascii="FrankRuehl" w:hAnsi="FrankRuehl" w:cs="FrankRuehl"/>
          <w:sz w:val="28"/>
          <w:szCs w:val="28"/>
          <w:u w:val="single"/>
          <w:rtl/>
        </w:rPr>
        <w:t xml:space="preserve">עד יום </w:t>
      </w:r>
      <w:r w:rsidRPr="00357D8E">
        <w:rPr>
          <w:rFonts w:ascii="FrankRuehl" w:hAnsi="FrankRuehl" w:cs="FrankRuehl" w:hint="cs"/>
          <w:sz w:val="28"/>
          <w:szCs w:val="28"/>
          <w:u w:val="single"/>
          <w:rtl/>
        </w:rPr>
        <w:t>31</w:t>
      </w:r>
      <w:r w:rsidRPr="00357D8E">
        <w:rPr>
          <w:rFonts w:ascii="FrankRuehl" w:hAnsi="FrankRuehl" w:cs="FrankRuehl"/>
          <w:sz w:val="28"/>
          <w:szCs w:val="28"/>
          <w:u w:val="single"/>
          <w:rtl/>
        </w:rPr>
        <w:t>.7.2023</w:t>
      </w:r>
      <w:r w:rsidR="00357D8E" w:rsidRPr="00357D8E">
        <w:rPr>
          <w:rFonts w:ascii="FrankRuehl" w:hAnsi="FrankRuehl" w:cs="FrankRuehl" w:hint="cs"/>
          <w:sz w:val="28"/>
          <w:szCs w:val="28"/>
          <w:rtl/>
        </w:rPr>
        <w:t xml:space="preserve">, והשלום השני ישולם </w:t>
      </w:r>
      <w:r w:rsidR="00357D8E" w:rsidRPr="00357D8E">
        <w:rPr>
          <w:rFonts w:ascii="FrankRuehl" w:hAnsi="FrankRuehl" w:cs="FrankRuehl" w:hint="cs"/>
          <w:sz w:val="28"/>
          <w:szCs w:val="28"/>
          <w:u w:val="single"/>
          <w:rtl/>
        </w:rPr>
        <w:t>עד יום 31.8.2023</w:t>
      </w:r>
      <w:r w:rsidR="00357D8E">
        <w:rPr>
          <w:rFonts w:ascii="FrankRuehl" w:hAnsi="FrankRuehl" w:cs="FrankRuehl" w:hint="cs"/>
          <w:sz w:val="28"/>
          <w:szCs w:val="28"/>
          <w:rtl/>
        </w:rPr>
        <w:t>.</w:t>
      </w:r>
    </w:p>
    <w:p w:rsidR="00A620FF" w:rsidRPr="00357D8E" w:rsidRDefault="00A620FF" w:rsidP="00A620FF">
      <w:pPr>
        <w:pStyle w:val="ab"/>
        <w:spacing w:after="0" w:line="360" w:lineRule="auto"/>
        <w:jc w:val="both"/>
        <w:rPr>
          <w:rFonts w:ascii="FrankRuehl" w:hAnsi="FrankRuehl" w:cs="FrankRuehl"/>
          <w:sz w:val="20"/>
          <w:szCs w:val="20"/>
        </w:rPr>
      </w:pPr>
    </w:p>
    <w:p w:rsidR="00A620FF" w:rsidRDefault="00A620FF" w:rsidP="00BA03A3">
      <w:pPr>
        <w:pStyle w:val="ab"/>
        <w:numPr>
          <w:ilvl w:val="0"/>
          <w:numId w:val="3"/>
        </w:numPr>
        <w:spacing w:after="0" w:line="360" w:lineRule="auto"/>
        <w:ind w:hanging="494"/>
        <w:jc w:val="both"/>
        <w:rPr>
          <w:rFonts w:ascii="FrankRuehl" w:hAnsi="FrankRuehl" w:cs="FrankRuehl"/>
          <w:sz w:val="28"/>
          <w:szCs w:val="28"/>
        </w:rPr>
      </w:pPr>
      <w:r w:rsidRPr="00357D8E">
        <w:rPr>
          <w:rFonts w:ascii="FrankRuehl" w:hAnsi="FrankRuehl" w:cs="FrankRuehl"/>
          <w:sz w:val="28"/>
          <w:szCs w:val="28"/>
          <w:rtl/>
        </w:rPr>
        <w:t xml:space="preserve">משית על הנאשמת 3 קנס בסך 10,000 ₪ </w:t>
      </w:r>
      <w:r w:rsidR="00357D8E">
        <w:rPr>
          <w:rFonts w:ascii="FrankRuehl" w:hAnsi="FrankRuehl" w:cs="FrankRuehl"/>
          <w:sz w:val="28"/>
          <w:szCs w:val="28"/>
          <w:rtl/>
        </w:rPr>
        <w:t xml:space="preserve">אשר ישולם </w:t>
      </w:r>
      <w:r w:rsidR="00357D8E" w:rsidRPr="00357D8E">
        <w:rPr>
          <w:rFonts w:ascii="FrankRuehl" w:hAnsi="FrankRuehl" w:cs="FrankRuehl" w:hint="cs"/>
          <w:sz w:val="28"/>
          <w:szCs w:val="28"/>
          <w:rtl/>
        </w:rPr>
        <w:t xml:space="preserve">בשני תשלומים חודשיים שווים ועוקבים, כאשר התשלום הראשון ישולם </w:t>
      </w:r>
      <w:r w:rsidR="00357D8E" w:rsidRPr="00357D8E">
        <w:rPr>
          <w:rFonts w:ascii="FrankRuehl" w:hAnsi="FrankRuehl" w:cs="FrankRuehl"/>
          <w:sz w:val="28"/>
          <w:szCs w:val="28"/>
          <w:u w:val="single"/>
          <w:rtl/>
        </w:rPr>
        <w:t xml:space="preserve">עד יום </w:t>
      </w:r>
      <w:r w:rsidR="00357D8E" w:rsidRPr="00357D8E">
        <w:rPr>
          <w:rFonts w:ascii="FrankRuehl" w:hAnsi="FrankRuehl" w:cs="FrankRuehl" w:hint="cs"/>
          <w:sz w:val="28"/>
          <w:szCs w:val="28"/>
          <w:u w:val="single"/>
          <w:rtl/>
        </w:rPr>
        <w:t>31</w:t>
      </w:r>
      <w:r w:rsidR="00357D8E" w:rsidRPr="00357D8E">
        <w:rPr>
          <w:rFonts w:ascii="FrankRuehl" w:hAnsi="FrankRuehl" w:cs="FrankRuehl"/>
          <w:sz w:val="28"/>
          <w:szCs w:val="28"/>
          <w:u w:val="single"/>
          <w:rtl/>
        </w:rPr>
        <w:t>.7.2023</w:t>
      </w:r>
      <w:r w:rsidR="00357D8E" w:rsidRPr="00357D8E">
        <w:rPr>
          <w:rFonts w:ascii="FrankRuehl" w:hAnsi="FrankRuehl" w:cs="FrankRuehl" w:hint="cs"/>
          <w:sz w:val="28"/>
          <w:szCs w:val="28"/>
          <w:rtl/>
        </w:rPr>
        <w:t xml:space="preserve">, והשלום השני ישולם </w:t>
      </w:r>
      <w:r w:rsidR="00357D8E" w:rsidRPr="00357D8E">
        <w:rPr>
          <w:rFonts w:ascii="FrankRuehl" w:hAnsi="FrankRuehl" w:cs="FrankRuehl" w:hint="cs"/>
          <w:sz w:val="28"/>
          <w:szCs w:val="28"/>
          <w:u w:val="single"/>
          <w:rtl/>
        </w:rPr>
        <w:t>עד יום 31.8.2023</w:t>
      </w:r>
      <w:r w:rsidR="00357D8E">
        <w:rPr>
          <w:rFonts w:ascii="FrankRuehl" w:hAnsi="FrankRuehl" w:cs="FrankRuehl" w:hint="cs"/>
          <w:sz w:val="28"/>
          <w:szCs w:val="28"/>
          <w:rtl/>
        </w:rPr>
        <w:t>.</w:t>
      </w:r>
    </w:p>
    <w:p w:rsidR="00357D8E" w:rsidRPr="00357D8E" w:rsidRDefault="00357D8E" w:rsidP="00357D8E">
      <w:pPr>
        <w:spacing w:line="360" w:lineRule="auto"/>
        <w:jc w:val="both"/>
        <w:rPr>
          <w:rFonts w:ascii="FrankRuehl" w:hAnsi="FrankRuehl" w:cs="FrankRuehl"/>
          <w:sz w:val="20"/>
          <w:szCs w:val="20"/>
        </w:rPr>
      </w:pPr>
    </w:p>
    <w:p w:rsidR="00A620FF" w:rsidRDefault="00A620FF" w:rsidP="00A620FF">
      <w:pPr>
        <w:pStyle w:val="ab"/>
        <w:numPr>
          <w:ilvl w:val="0"/>
          <w:numId w:val="3"/>
        </w:numPr>
        <w:spacing w:after="0" w:line="360" w:lineRule="auto"/>
        <w:ind w:hanging="494"/>
        <w:jc w:val="both"/>
        <w:rPr>
          <w:rFonts w:ascii="FrankRuehl" w:hAnsi="FrankRuehl" w:cs="FrankRuehl"/>
          <w:sz w:val="28"/>
          <w:szCs w:val="28"/>
          <w:rtl/>
        </w:rPr>
      </w:pPr>
      <w:r>
        <w:rPr>
          <w:rFonts w:ascii="FrankRuehl" w:hAnsi="FrankRuehl" w:cs="FrankRuehl"/>
          <w:sz w:val="28"/>
          <w:szCs w:val="28"/>
          <w:rtl/>
        </w:rPr>
        <w:t xml:space="preserve">התשלומים יבוצעו לחשבון המרכז לגביית קנסות, אגרות והוצאות ברשות האכיפה והגבייה באחת מהדרכים הבאות: בכרטיס אשראי – באתר המקוון של רשות האכיפה והגבייה </w:t>
      </w:r>
      <w:r>
        <w:rPr>
          <w:rFonts w:ascii="FrankRuehl" w:hAnsi="FrankRuehl" w:cs="FrankRuehl"/>
          <w:sz w:val="24"/>
          <w:szCs w:val="24"/>
        </w:rPr>
        <w:t>www.eca.gov.il</w:t>
      </w:r>
      <w:r>
        <w:rPr>
          <w:rFonts w:ascii="FrankRuehl" w:hAnsi="FrankRuehl" w:cs="FrankRuehl"/>
          <w:sz w:val="28"/>
          <w:szCs w:val="28"/>
          <w:rtl/>
        </w:rPr>
        <w:t>; מוקד שירות טלפוני בשירות עצמי (מרכז גבייה) – בטלפון 35592* או בטלפון 073-2055000; במזומן בכל סניף של בנק הדואר.</w:t>
      </w:r>
    </w:p>
    <w:p w:rsidR="00A620FF" w:rsidRDefault="00A620FF" w:rsidP="00A620FF">
      <w:pPr>
        <w:spacing w:line="360" w:lineRule="auto"/>
        <w:rPr>
          <w:rFonts w:ascii="FrankRuehl" w:hAnsi="FrankRuehl" w:cs="FrankRuehl"/>
          <w:sz w:val="28"/>
          <w:szCs w:val="28"/>
        </w:rPr>
      </w:pPr>
    </w:p>
    <w:p w:rsidR="00A620FF" w:rsidRDefault="00A620FF" w:rsidP="00A620FF">
      <w:pPr>
        <w:spacing w:line="360" w:lineRule="auto"/>
        <w:rPr>
          <w:rFonts w:ascii="FrankRuehl" w:hAnsi="FrankRuehl" w:cs="FrankRuehl"/>
          <w:sz w:val="28"/>
          <w:szCs w:val="28"/>
          <w:rtl/>
        </w:rPr>
      </w:pPr>
      <w:r>
        <w:rPr>
          <w:rFonts w:ascii="FrankRuehl" w:hAnsi="FrankRuehl" w:cs="FrankRuehl"/>
          <w:sz w:val="28"/>
          <w:szCs w:val="28"/>
          <w:rtl/>
        </w:rPr>
        <w:t>זכות ערעור לבית המשפט המחוזי בירושלים תוך 45 יום.</w:t>
      </w:r>
    </w:p>
    <w:p w:rsidR="00A620FF" w:rsidRPr="00357D8E" w:rsidRDefault="00A620FF" w:rsidP="00A620FF">
      <w:pPr>
        <w:spacing w:line="360" w:lineRule="auto"/>
        <w:rPr>
          <w:rFonts w:ascii="FrankRuehl" w:hAnsi="FrankRuehl" w:cs="FrankRuehl"/>
          <w:sz w:val="20"/>
          <w:szCs w:val="20"/>
          <w:rtl/>
        </w:rPr>
      </w:pPr>
    </w:p>
    <w:p w:rsidR="00507694" w:rsidRPr="000F2247" w:rsidRDefault="00A620FF" w:rsidP="00A620FF">
      <w:pPr>
        <w:rPr>
          <w:rFonts w:ascii="Arial" w:hAnsi="Arial"/>
          <w:b/>
          <w:bCs/>
          <w:sz w:val="26"/>
          <w:szCs w:val="26"/>
          <w:rtl/>
        </w:rPr>
      </w:pPr>
      <w:r>
        <w:rPr>
          <w:rFonts w:ascii="FrankRuehl" w:hAnsi="FrankRuehl" w:cs="FrankRuehl"/>
          <w:sz w:val="28"/>
          <w:szCs w:val="28"/>
          <w:u w:val="single"/>
          <w:rtl/>
        </w:rPr>
        <w:t>המזכירות – להודיע לשירות המבחן</w:t>
      </w:r>
      <w:r>
        <w:rPr>
          <w:rFonts w:ascii="FrankRuehl" w:hAnsi="FrankRuehl" w:cs="FrankRuehl"/>
          <w:sz w:val="28"/>
          <w:szCs w:val="28"/>
          <w:rtl/>
        </w:rPr>
        <w:t>.</w:t>
      </w:r>
    </w:p>
    <w:p w:rsidR="00507694" w:rsidRPr="000F2247" w:rsidRDefault="00507694">
      <w:pPr>
        <w:rPr>
          <w:rFonts w:ascii="Arial" w:hAnsi="Arial"/>
          <w:b/>
          <w:bCs/>
          <w:sz w:val="26"/>
          <w:szCs w:val="26"/>
          <w:rtl/>
        </w:rPr>
      </w:pPr>
    </w:p>
    <w:p w:rsidR="00ED4465" w:rsidRDefault="00684E84" w:rsidP="00ED4465">
      <w:pPr>
        <w:spacing w:line="360" w:lineRule="auto"/>
        <w:jc w:val="both"/>
        <w:rPr>
          <w:rFonts w:ascii="Arial" w:hAnsi="Arial"/>
          <w:b/>
          <w:bCs/>
          <w:sz w:val="26"/>
          <w:szCs w:val="26"/>
          <w:rtl/>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ו' תמוז תשפ"ג</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25 יוני 2023</w:t>
          </w:r>
        </w:sdtContent>
      </w:sdt>
      <w:r w:rsidRPr="000F2247">
        <w:rPr>
          <w:rFonts w:ascii="Arial" w:hAnsi="Arial"/>
          <w:b/>
          <w:bCs/>
          <w:sz w:val="26"/>
          <w:szCs w:val="26"/>
          <w:rtl/>
        </w:rPr>
        <w:t>, בהעדר הצדדים.</w:t>
      </w: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507694" w:rsidRPr="000F2247" w:rsidRDefault="003E0C9F" w:rsidP="002B7D23">
      <w:pPr>
        <w:jc w:val="cente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603182462"/>
        </w:sdtPr>
        <w:sdtEndPr/>
        <w:sdtContent>
          <w:r w:rsidR="00080142">
            <w:rPr>
              <w:noProof/>
            </w:rPr>
            <w:drawing>
              <wp:inline distT="0" distB="0" distL="0" distR="0" wp14:editId="50D07946">
                <wp:extent cx="1685925" cy="1390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85925" cy="1390650"/>
                        </a:xfrm>
                        <a:prstGeom prst="rect">
                          <a:avLst/>
                        </a:prstGeom>
                      </pic:spPr>
                    </pic:pic>
                  </a:graphicData>
                </a:graphic>
              </wp:inline>
            </w:drawing>
          </w:r>
        </w:sdtContent>
      </w:sdt>
    </w:p>
    <w:p w:rsidR="00507694" w:rsidRPr="000F2247" w:rsidRDefault="00507694" w:rsidP="002B7D23">
      <w:pPr>
        <w:jc w:val="center"/>
        <w:rPr>
          <w:rFonts w:ascii="Arial" w:hAnsi="Arial"/>
          <w:b/>
          <w:bCs/>
          <w:sz w:val="26"/>
          <w:szCs w:val="26"/>
          <w:rtl/>
        </w:rPr>
      </w:pPr>
    </w:p>
    <w:sectPr w:rsidR="00507694" w:rsidRPr="000F2247" w:rsidSect="00507694">
      <w:headerReference w:type="even" r:id="rId9"/>
      <w:headerReference w:type="default" r:id="rId10"/>
      <w:footerReference w:type="even" r:id="rId11"/>
      <w:footerReference w:type="default" r:id="rId12"/>
      <w:headerReference w:type="first" r:id="rId13"/>
      <w:footerReference w:type="first" r:id="rId14"/>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0142" w:rsidRDefault="00080142">
      <w:r>
        <w:separator/>
      </w:r>
    </w:p>
  </w:endnote>
  <w:endnote w:type="continuationSeparator" w:id="0">
    <w:p w:rsidR="00080142" w:rsidRDefault="00080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493FA1">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493FA1">
      <w:rPr>
        <w:noProof/>
        <w:rtl/>
      </w:rPr>
      <w:t>13</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20F4" w:rsidRDefault="008820F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0142" w:rsidRDefault="00080142">
      <w:r>
        <w:separator/>
      </w:r>
    </w:p>
  </w:footnote>
  <w:footnote w:type="continuationSeparator" w:id="0">
    <w:p w:rsidR="00080142" w:rsidRDefault="00080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20F4" w:rsidRDefault="008820F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38"/>
      <w:gridCol w:w="3567"/>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משפט השלום בירושלים</w:t>
              </w:r>
            </w:p>
          </w:tc>
        </w:sdtContent>
      </w:sdt>
    </w:tr>
    <w:tr w:rsidR="00507694">
      <w:trPr>
        <w:trHeight w:val="337"/>
        <w:jc w:val="center"/>
      </w:trPr>
      <w:tc>
        <w:tcPr>
          <w:tcW w:w="5131" w:type="dxa"/>
        </w:tcPr>
        <w:p w:rsidR="00507694" w:rsidRDefault="00493FA1">
          <w:pPr>
            <w:rPr>
              <w:rFonts w:cs="FrankRuehl"/>
              <w:sz w:val="28"/>
              <w:szCs w:val="28"/>
              <w:rtl/>
            </w:rPr>
          </w:pPr>
          <w:sdt>
            <w:sdtPr>
              <w:rPr>
                <w:rtl/>
              </w:rPr>
              <w:alias w:val="1170"/>
              <w:tag w:val="1170"/>
              <w:id w:val="2112628154"/>
              <w:text w:multiLine="1"/>
            </w:sdtPr>
            <w:sdtEndPr/>
            <w:sdtContent>
              <w:r w:rsidR="004902D6">
                <w:rPr>
                  <w:rFonts w:cs="FrankRuehl"/>
                  <w:sz w:val="28"/>
                  <w:szCs w:val="28"/>
                  <w:rtl/>
                </w:rPr>
                <w:t>ת"פ</w:t>
              </w:r>
            </w:sdtContent>
          </w:sdt>
          <w:r w:rsidR="00684E84">
            <w:rPr>
              <w:rFonts w:cs="FrankRuehl" w:hint="cs"/>
              <w:sz w:val="28"/>
              <w:szCs w:val="28"/>
              <w:rtl/>
            </w:rPr>
            <w:t xml:space="preserve"> </w:t>
          </w:r>
          <w:sdt>
            <w:sdtPr>
              <w:rPr>
                <w:rtl/>
              </w:rPr>
              <w:alias w:val="1171"/>
              <w:tag w:val="1171"/>
              <w:id w:val="-1870053316"/>
              <w:text w:multiLine="1"/>
            </w:sdtPr>
            <w:sdtEndPr/>
            <w:sdtContent>
              <w:r w:rsidR="004902D6">
                <w:rPr>
                  <w:rFonts w:cs="FrankRuehl"/>
                  <w:sz w:val="28"/>
                  <w:szCs w:val="28"/>
                  <w:rtl/>
                </w:rPr>
                <w:t>66385-12-19</w:t>
              </w:r>
            </w:sdtContent>
          </w:sdt>
          <w:r w:rsidR="00684E84">
            <w:rPr>
              <w:rFonts w:cs="FrankRuehl" w:hint="cs"/>
              <w:sz w:val="28"/>
              <w:szCs w:val="28"/>
              <w:rtl/>
            </w:rPr>
            <w:t xml:space="preserve"> </w:t>
          </w:r>
          <w:sdt>
            <w:sdtPr>
              <w:rPr>
                <w:rtl/>
              </w:rPr>
              <w:alias w:val="1172"/>
              <w:tag w:val="1172"/>
              <w:id w:val="-2143494014"/>
              <w:text w:multiLine="1"/>
            </w:sdtPr>
            <w:sdtEndPr/>
            <w:sdtContent>
              <w:r w:rsidR="004902D6">
                <w:rPr>
                  <w:rFonts w:cs="FrankRuehl"/>
                  <w:sz w:val="28"/>
                  <w:szCs w:val="28"/>
                  <w:rtl/>
                </w:rPr>
                <w:t>מדינת ישראל נ' הכהן ואח'</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20F4" w:rsidRDefault="008820F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D0313AC"/>
    <w:multiLevelType w:val="hybridMultilevel"/>
    <w:tmpl w:val="69902A56"/>
    <w:lvl w:ilvl="0" w:tplc="E98645A4">
      <w:start w:val="1"/>
      <w:numFmt w:val="hebrew1"/>
      <w:lvlText w:val="%1)"/>
      <w:lvlJc w:val="left"/>
      <w:pPr>
        <w:ind w:left="1080" w:hanging="360"/>
      </w:pPr>
    </w:lvl>
    <w:lvl w:ilvl="1" w:tplc="052A5996">
      <w:start w:val="1"/>
      <w:numFmt w:val="lowerLetter"/>
      <w:lvlText w:val="%2."/>
      <w:lvlJc w:val="left"/>
      <w:pPr>
        <w:ind w:left="1800" w:hanging="360"/>
      </w:pPr>
    </w:lvl>
    <w:lvl w:ilvl="2" w:tplc="2B026312">
      <w:start w:val="1"/>
      <w:numFmt w:val="lowerRoman"/>
      <w:lvlText w:val="%3."/>
      <w:lvlJc w:val="right"/>
      <w:pPr>
        <w:ind w:left="2520" w:hanging="180"/>
      </w:pPr>
    </w:lvl>
    <w:lvl w:ilvl="3" w:tplc="3B325E0E">
      <w:start w:val="1"/>
      <w:numFmt w:val="decimal"/>
      <w:lvlText w:val="%4."/>
      <w:lvlJc w:val="left"/>
      <w:pPr>
        <w:ind w:left="3240" w:hanging="360"/>
      </w:pPr>
    </w:lvl>
    <w:lvl w:ilvl="4" w:tplc="C0122096">
      <w:start w:val="1"/>
      <w:numFmt w:val="lowerLetter"/>
      <w:lvlText w:val="%5."/>
      <w:lvlJc w:val="left"/>
      <w:pPr>
        <w:ind w:left="3960" w:hanging="360"/>
      </w:pPr>
    </w:lvl>
    <w:lvl w:ilvl="5" w:tplc="80802434">
      <w:start w:val="1"/>
      <w:numFmt w:val="lowerRoman"/>
      <w:lvlText w:val="%6."/>
      <w:lvlJc w:val="right"/>
      <w:pPr>
        <w:ind w:left="4680" w:hanging="180"/>
      </w:pPr>
    </w:lvl>
    <w:lvl w:ilvl="6" w:tplc="3BA46BBC">
      <w:start w:val="1"/>
      <w:numFmt w:val="decimal"/>
      <w:lvlText w:val="%7."/>
      <w:lvlJc w:val="left"/>
      <w:pPr>
        <w:ind w:left="5400" w:hanging="360"/>
      </w:pPr>
    </w:lvl>
    <w:lvl w:ilvl="7" w:tplc="81E0E08A">
      <w:start w:val="1"/>
      <w:numFmt w:val="lowerLetter"/>
      <w:lvlText w:val="%8."/>
      <w:lvlJc w:val="left"/>
      <w:pPr>
        <w:ind w:left="6120" w:hanging="360"/>
      </w:pPr>
    </w:lvl>
    <w:lvl w:ilvl="8" w:tplc="A3EC0502">
      <w:start w:val="1"/>
      <w:numFmt w:val="lowerRoman"/>
      <w:lvlText w:val="%9."/>
      <w:lvlJc w:val="right"/>
      <w:pPr>
        <w:ind w:left="6840" w:hanging="180"/>
      </w:pPr>
    </w:lvl>
  </w:abstractNum>
  <w:abstractNum w:abstractNumId="2" w15:restartNumberingAfterBreak="0">
    <w:nsid w:val="31BA6068"/>
    <w:multiLevelType w:val="hybridMultilevel"/>
    <w:tmpl w:val="E35CD586"/>
    <w:lvl w:ilvl="0" w:tplc="E000E152">
      <w:start w:val="1"/>
      <w:numFmt w:val="decimal"/>
      <w:lvlText w:val="%1)"/>
      <w:lvlJc w:val="left"/>
      <w:pPr>
        <w:ind w:left="720" w:hanging="360"/>
      </w:pPr>
      <w:rPr>
        <w:rFonts w:asciiTheme="minorHAnsi" w:hAnsiTheme="minorHAnsi" w:cs="Calibri" w:hint="default"/>
        <w:sz w:val="22"/>
        <w:szCs w:val="22"/>
      </w:rPr>
    </w:lvl>
    <w:lvl w:ilvl="1" w:tplc="CCEE6EDC">
      <w:start w:val="1"/>
      <w:numFmt w:val="lowerLetter"/>
      <w:lvlText w:val="%2."/>
      <w:lvlJc w:val="left"/>
      <w:pPr>
        <w:ind w:left="1440" w:hanging="360"/>
      </w:pPr>
      <w:rPr>
        <w:rFonts w:cs="Times New Roman"/>
      </w:rPr>
    </w:lvl>
    <w:lvl w:ilvl="2" w:tplc="8CD66C3A">
      <w:start w:val="1"/>
      <w:numFmt w:val="lowerRoman"/>
      <w:lvlText w:val="%3."/>
      <w:lvlJc w:val="right"/>
      <w:pPr>
        <w:ind w:left="2160" w:hanging="180"/>
      </w:pPr>
      <w:rPr>
        <w:rFonts w:cs="Times New Roman"/>
      </w:rPr>
    </w:lvl>
    <w:lvl w:ilvl="3" w:tplc="55866F8E">
      <w:start w:val="1"/>
      <w:numFmt w:val="decimal"/>
      <w:lvlText w:val="%4."/>
      <w:lvlJc w:val="left"/>
      <w:pPr>
        <w:ind w:left="2880" w:hanging="360"/>
      </w:pPr>
      <w:rPr>
        <w:rFonts w:cs="Times New Roman"/>
      </w:rPr>
    </w:lvl>
    <w:lvl w:ilvl="4" w:tplc="3DE26ED6">
      <w:start w:val="1"/>
      <w:numFmt w:val="lowerLetter"/>
      <w:lvlText w:val="%5."/>
      <w:lvlJc w:val="left"/>
      <w:pPr>
        <w:ind w:left="3600" w:hanging="360"/>
      </w:pPr>
      <w:rPr>
        <w:rFonts w:cs="Times New Roman"/>
      </w:rPr>
    </w:lvl>
    <w:lvl w:ilvl="5" w:tplc="A8124E9C">
      <w:start w:val="1"/>
      <w:numFmt w:val="lowerRoman"/>
      <w:lvlText w:val="%6."/>
      <w:lvlJc w:val="right"/>
      <w:pPr>
        <w:ind w:left="4320" w:hanging="180"/>
      </w:pPr>
      <w:rPr>
        <w:rFonts w:cs="Times New Roman"/>
      </w:rPr>
    </w:lvl>
    <w:lvl w:ilvl="6" w:tplc="3AB0D52E">
      <w:start w:val="1"/>
      <w:numFmt w:val="decimal"/>
      <w:lvlText w:val="%7."/>
      <w:lvlJc w:val="left"/>
      <w:pPr>
        <w:ind w:left="5040" w:hanging="360"/>
      </w:pPr>
      <w:rPr>
        <w:rFonts w:cs="Times New Roman"/>
      </w:rPr>
    </w:lvl>
    <w:lvl w:ilvl="7" w:tplc="BEA2D42A">
      <w:start w:val="1"/>
      <w:numFmt w:val="lowerLetter"/>
      <w:lvlText w:val="%8."/>
      <w:lvlJc w:val="left"/>
      <w:pPr>
        <w:ind w:left="5760" w:hanging="360"/>
      </w:pPr>
      <w:rPr>
        <w:rFonts w:cs="Times New Roman"/>
      </w:rPr>
    </w:lvl>
    <w:lvl w:ilvl="8" w:tplc="098A494E">
      <w:start w:val="1"/>
      <w:numFmt w:val="lowerRoman"/>
      <w:lvlText w:val="%9."/>
      <w:lvlJc w:val="right"/>
      <w:pPr>
        <w:ind w:left="6480" w:hanging="180"/>
      </w:pPr>
      <w:rPr>
        <w:rFonts w:cs="Times New Roman"/>
      </w:rPr>
    </w:lvl>
  </w:abstractNum>
  <w:abstractNum w:abstractNumId="3"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9B710CC"/>
    <w:multiLevelType w:val="hybridMultilevel"/>
    <w:tmpl w:val="2AE01CC2"/>
    <w:lvl w:ilvl="0" w:tplc="B1382D7A">
      <w:start w:val="3"/>
      <w:numFmt w:val="bullet"/>
      <w:lvlText w:val=""/>
      <w:lvlJc w:val="left"/>
      <w:pPr>
        <w:ind w:left="1080" w:hanging="360"/>
      </w:pPr>
      <w:rPr>
        <w:rFonts w:ascii="Symbol" w:eastAsiaTheme="minorHAnsi" w:hAnsi="Symbol" w:cs="FrankRuehl" w:hint="default"/>
      </w:rPr>
    </w:lvl>
    <w:lvl w:ilvl="1" w:tplc="E758E084">
      <w:start w:val="1"/>
      <w:numFmt w:val="bullet"/>
      <w:lvlText w:val="o"/>
      <w:lvlJc w:val="left"/>
      <w:pPr>
        <w:ind w:left="1800" w:hanging="360"/>
      </w:pPr>
      <w:rPr>
        <w:rFonts w:ascii="Courier New" w:hAnsi="Courier New" w:cs="Courier New" w:hint="default"/>
      </w:rPr>
    </w:lvl>
    <w:lvl w:ilvl="2" w:tplc="DF1E3B2A">
      <w:start w:val="1"/>
      <w:numFmt w:val="bullet"/>
      <w:lvlText w:val=""/>
      <w:lvlJc w:val="left"/>
      <w:pPr>
        <w:ind w:left="2520" w:hanging="360"/>
      </w:pPr>
      <w:rPr>
        <w:rFonts w:ascii="Wingdings" w:hAnsi="Wingdings" w:hint="default"/>
      </w:rPr>
    </w:lvl>
    <w:lvl w:ilvl="3" w:tplc="27960C56">
      <w:start w:val="1"/>
      <w:numFmt w:val="bullet"/>
      <w:lvlText w:val=""/>
      <w:lvlJc w:val="left"/>
      <w:pPr>
        <w:ind w:left="3240" w:hanging="360"/>
      </w:pPr>
      <w:rPr>
        <w:rFonts w:ascii="Symbol" w:hAnsi="Symbol" w:hint="default"/>
      </w:rPr>
    </w:lvl>
    <w:lvl w:ilvl="4" w:tplc="BEA2FE06">
      <w:start w:val="1"/>
      <w:numFmt w:val="bullet"/>
      <w:lvlText w:val="o"/>
      <w:lvlJc w:val="left"/>
      <w:pPr>
        <w:ind w:left="3960" w:hanging="360"/>
      </w:pPr>
      <w:rPr>
        <w:rFonts w:ascii="Courier New" w:hAnsi="Courier New" w:cs="Courier New" w:hint="default"/>
      </w:rPr>
    </w:lvl>
    <w:lvl w:ilvl="5" w:tplc="D7D2287A">
      <w:start w:val="1"/>
      <w:numFmt w:val="bullet"/>
      <w:lvlText w:val=""/>
      <w:lvlJc w:val="left"/>
      <w:pPr>
        <w:ind w:left="4680" w:hanging="360"/>
      </w:pPr>
      <w:rPr>
        <w:rFonts w:ascii="Wingdings" w:hAnsi="Wingdings" w:hint="default"/>
      </w:rPr>
    </w:lvl>
    <w:lvl w:ilvl="6" w:tplc="4984AA8C">
      <w:start w:val="1"/>
      <w:numFmt w:val="bullet"/>
      <w:lvlText w:val=""/>
      <w:lvlJc w:val="left"/>
      <w:pPr>
        <w:ind w:left="5400" w:hanging="360"/>
      </w:pPr>
      <w:rPr>
        <w:rFonts w:ascii="Symbol" w:hAnsi="Symbol" w:hint="default"/>
      </w:rPr>
    </w:lvl>
    <w:lvl w:ilvl="7" w:tplc="36362A86">
      <w:start w:val="1"/>
      <w:numFmt w:val="bullet"/>
      <w:lvlText w:val="o"/>
      <w:lvlJc w:val="left"/>
      <w:pPr>
        <w:ind w:left="6120" w:hanging="360"/>
      </w:pPr>
      <w:rPr>
        <w:rFonts w:ascii="Courier New" w:hAnsi="Courier New" w:cs="Courier New" w:hint="default"/>
      </w:rPr>
    </w:lvl>
    <w:lvl w:ilvl="8" w:tplc="B9720372">
      <w:start w:val="1"/>
      <w:numFmt w:val="bullet"/>
      <w:lvlText w:val=""/>
      <w:lvlJc w:val="left"/>
      <w:pPr>
        <w:ind w:left="6840" w:hanging="360"/>
      </w:pPr>
      <w:rPr>
        <w:rFonts w:ascii="Wingdings" w:hAnsi="Wingdings" w:hint="default"/>
      </w:rPr>
    </w:lvl>
  </w:abstractNum>
  <w:num w:numId="1">
    <w:abstractNumId w:val="3"/>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694"/>
    <w:rsid w:val="0000752B"/>
    <w:rsid w:val="00031F8A"/>
    <w:rsid w:val="000454A8"/>
    <w:rsid w:val="00054FC4"/>
    <w:rsid w:val="0006726A"/>
    <w:rsid w:val="00080142"/>
    <w:rsid w:val="000F2247"/>
    <w:rsid w:val="00100577"/>
    <w:rsid w:val="001352F8"/>
    <w:rsid w:val="00203DE3"/>
    <w:rsid w:val="00212125"/>
    <w:rsid w:val="00224AC0"/>
    <w:rsid w:val="002B7D23"/>
    <w:rsid w:val="002D6C61"/>
    <w:rsid w:val="00357D8E"/>
    <w:rsid w:val="00367565"/>
    <w:rsid w:val="003D7D8A"/>
    <w:rsid w:val="003E0C9F"/>
    <w:rsid w:val="004215DC"/>
    <w:rsid w:val="004902D6"/>
    <w:rsid w:val="00493FA1"/>
    <w:rsid w:val="00507694"/>
    <w:rsid w:val="005838FE"/>
    <w:rsid w:val="005C7B0B"/>
    <w:rsid w:val="00683ABD"/>
    <w:rsid w:val="00684E84"/>
    <w:rsid w:val="006C2095"/>
    <w:rsid w:val="00706644"/>
    <w:rsid w:val="00757983"/>
    <w:rsid w:val="00821F29"/>
    <w:rsid w:val="00822550"/>
    <w:rsid w:val="00832D73"/>
    <w:rsid w:val="008819B4"/>
    <w:rsid w:val="008820F4"/>
    <w:rsid w:val="008C0297"/>
    <w:rsid w:val="00947B38"/>
    <w:rsid w:val="009705CC"/>
    <w:rsid w:val="009733B9"/>
    <w:rsid w:val="009A730D"/>
    <w:rsid w:val="009E35A7"/>
    <w:rsid w:val="009E49A1"/>
    <w:rsid w:val="009F504D"/>
    <w:rsid w:val="00A33C33"/>
    <w:rsid w:val="00A504C4"/>
    <w:rsid w:val="00A620FF"/>
    <w:rsid w:val="00B05847"/>
    <w:rsid w:val="00B22E0A"/>
    <w:rsid w:val="00BD67E7"/>
    <w:rsid w:val="00BE0015"/>
    <w:rsid w:val="00C02463"/>
    <w:rsid w:val="00C45023"/>
    <w:rsid w:val="00C55E62"/>
    <w:rsid w:val="00C572E8"/>
    <w:rsid w:val="00D202F4"/>
    <w:rsid w:val="00D3203D"/>
    <w:rsid w:val="00D360BE"/>
    <w:rsid w:val="00E70F9C"/>
    <w:rsid w:val="00ED4465"/>
    <w:rsid w:val="00F75AFC"/>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paragraph" w:styleId="ab">
    <w:name w:val="List Paragraph"/>
    <w:basedOn w:val="a"/>
    <w:uiPriority w:val="34"/>
    <w:qFormat/>
    <w:rsid w:val="00A620FF"/>
    <w:pPr>
      <w:spacing w:after="160" w:line="252"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 w:id="1859007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604245" w:rsidP="00604245">
          <w:pPr>
            <w:pStyle w:val="779E22585710421C8C89FB185AEA4F294"/>
          </w:pPr>
          <w:r>
            <w:rPr>
              <w:rFonts w:ascii="Arial" w:hAnsi="Arial"/>
              <w:b/>
              <w:bCs/>
              <w:sz w:val="26"/>
              <w:szCs w:val="26"/>
              <w:rtl/>
            </w:rPr>
            <w:t>שם צד א' ללא שם של חסוי</w:t>
          </w:r>
        </w:p>
      </w:docPartBody>
    </w:docPart>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311E12" w:rsidRDefault="00604245" w:rsidP="00604245">
          <w:pPr>
            <w:pStyle w:val="010484D989C74E84A895BCF1D17B4C1C4"/>
          </w:pPr>
          <w:r>
            <w:rPr>
              <w:rFonts w:ascii="Arial" w:hAnsi="Arial"/>
              <w:b/>
              <w:bCs/>
              <w:sz w:val="26"/>
              <w:szCs w:val="26"/>
              <w:rtl/>
            </w:rPr>
            <w:t>שם צד ב' ללא שם של חסוי</w:t>
          </w:r>
        </w:p>
      </w:docPartBody>
    </w:docPart>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2B3868" w:rsidP="002B3868">
          <w:pPr>
            <w:pStyle w:val="4C499F2ED676413B965A992DD16BA9681"/>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2B3868"/>
    <w:rsid w:val="00307431"/>
    <w:rsid w:val="00311E12"/>
    <w:rsid w:val="00313980"/>
    <w:rsid w:val="00604245"/>
    <w:rsid w:val="00AF3697"/>
    <w:rsid w:val="00CC13F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2B3868"/>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2B3868"/>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3420</Words>
  <Characters>17102</Characters>
  <Application>Microsoft Office Word</Application>
  <DocSecurity>4</DocSecurity>
  <Lines>142</Lines>
  <Paragraphs>40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אטל אזרואל</cp:lastModifiedBy>
  <cp:revision>2</cp:revision>
  <cp:lastPrinted>2023-06-25T08:59:00Z</cp:lastPrinted>
  <dcterms:created xsi:type="dcterms:W3CDTF">2023-08-08T13:29:00Z</dcterms:created>
  <dcterms:modified xsi:type="dcterms:W3CDTF">2023-08-08T13:29:00Z</dcterms:modified>
</cp:coreProperties>
</file>